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9CC9" w14:textId="4D85D44B" w:rsidR="00B74D04" w:rsidRDefault="00791E7B" w:rsidP="00BC7694">
      <w:pPr>
        <w:spacing w:line="276" w:lineRule="auto"/>
        <w:rPr>
          <w:b/>
        </w:rPr>
      </w:pPr>
      <w:r>
        <w:rPr>
          <w:b/>
        </w:rPr>
        <w:t xml:space="preserve"> </w:t>
      </w:r>
      <w:r w:rsidR="00B74D04" w:rsidRPr="0062633A">
        <w:rPr>
          <w:rFonts w:eastAsia="Arial Unicode MS"/>
          <w:b/>
          <w:noProof/>
          <w:sz w:val="28"/>
          <w:szCs w:val="28"/>
          <w:lang w:eastAsia="pl-PL"/>
        </w:rPr>
        <w:drawing>
          <wp:inline distT="0" distB="0" distL="0" distR="0" wp14:anchorId="2ED12B62" wp14:editId="58A34CFD">
            <wp:extent cx="5760720" cy="986790"/>
            <wp:effectExtent l="0" t="0" r="0" b="0"/>
            <wp:docPr id="2" name="Obraz 2" descr="Nagłówek zawierający cztery barwne logotypy, umieszczone kolejno w jednej linii od lewej do prawej: programu Pomoc techniczna, Rzeczpospolitej Polskiej, Województwa Podkarpackiego i Funduszu Spójnośc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09DF8" w14:textId="77777777" w:rsidR="009108AD" w:rsidRDefault="0024679F" w:rsidP="00BC7694">
      <w:pPr>
        <w:spacing w:line="276" w:lineRule="auto"/>
        <w:rPr>
          <w:b/>
        </w:rPr>
      </w:pPr>
      <w:r>
        <w:rPr>
          <w:b/>
        </w:rPr>
        <w:t>Aktualizacja programu rewitalizacji – ważny element zarządzania procesem rewitalizacji</w:t>
      </w:r>
    </w:p>
    <w:p w14:paraId="6C68E97D" w14:textId="7EB3C2C7" w:rsidR="00135FF1" w:rsidRDefault="005D53CE" w:rsidP="00BC7694">
      <w:pPr>
        <w:spacing w:line="276" w:lineRule="auto"/>
        <w:jc w:val="both"/>
      </w:pPr>
      <w:r>
        <w:t>Rewitalizacja jest procesem ciągłym, realizowanym w ciągu wielu lat na obszarze</w:t>
      </w:r>
      <w:r w:rsidR="00C86B39">
        <w:t xml:space="preserve"> gminy, który w wyniku </w:t>
      </w:r>
      <w:r>
        <w:t>diagnoz</w:t>
      </w:r>
      <w:r w:rsidR="00C86B39">
        <w:t>y delimitacyjnej został uznany za szczególnie zdegradowany</w:t>
      </w:r>
      <w:r>
        <w:t>.</w:t>
      </w:r>
      <w:r w:rsidR="00C86B39">
        <w:t xml:space="preserve"> Sposób funkcjonowania programów rewitalizacji, niezależnie od trybu ich opracowania, powinien uwzględniać ten szczególny </w:t>
      </w:r>
      <w:r w:rsidR="004A07AC">
        <w:t>aspekt procesu rewitalizacyjnego</w:t>
      </w:r>
      <w:r w:rsidR="00C86B39">
        <w:t xml:space="preserve">. </w:t>
      </w:r>
      <w:r w:rsidR="00135FF1">
        <w:t xml:space="preserve">Zgodnie z tą logiką programy rewitalizacji są </w:t>
      </w:r>
      <w:r w:rsidR="004A07AC">
        <w:t>wieloletnie – obejmują</w:t>
      </w:r>
      <w:r w:rsidR="00135FF1">
        <w:t xml:space="preserve"> od kilku do kilkunastu lat. W tak długim cyklu życia wiele może się zdarzyć – zachodzące zmiany mogą dotyczyć zarówno samych założeń programu</w:t>
      </w:r>
      <w:r w:rsidR="00E34264">
        <w:t xml:space="preserve">, </w:t>
      </w:r>
      <w:r w:rsidR="00F24FA9">
        <w:t>np. osiągnięcia już niektórych celów, zgłoszeni</w:t>
      </w:r>
      <w:r w:rsidR="00C41667">
        <w:t>a</w:t>
      </w:r>
      <w:r w:rsidR="00F24FA9">
        <w:t xml:space="preserve"> nowych </w:t>
      </w:r>
      <w:r w:rsidR="00C41667">
        <w:t xml:space="preserve">potrzeb </w:t>
      </w:r>
      <w:r w:rsidR="00F24FA9">
        <w:t>rewitalizacyjnych przez interesariuszy</w:t>
      </w:r>
      <w:r w:rsidR="00135FF1">
        <w:t>, jak i otoczenia zewnętrznego</w:t>
      </w:r>
      <w:r w:rsidR="00F24FA9">
        <w:t xml:space="preserve"> (</w:t>
      </w:r>
      <w:r w:rsidR="004A07AC">
        <w:t xml:space="preserve">np. </w:t>
      </w:r>
      <w:r w:rsidR="00D63BD9">
        <w:t>zmiany otoczenia prawnego czy dokumentów strategicznych</w:t>
      </w:r>
      <w:r w:rsidR="00F24FA9">
        <w:t>)</w:t>
      </w:r>
      <w:r w:rsidR="00135FF1">
        <w:t xml:space="preserve">. Stąd też dla zachowania ciągłości procesu kluczowe znaczenie ma obserwacja i wychwytywanie zachodzących zmian oraz reagowanie na nie. Z badań przeprowadzonych przez Instytut Rozwoju Miast </w:t>
      </w:r>
      <w:r w:rsidR="00655BF1">
        <w:t xml:space="preserve">i Regionów </w:t>
      </w:r>
      <w:r w:rsidR="00135FF1">
        <w:t>wynika bowiem, że</w:t>
      </w:r>
      <w:r w:rsidR="0073353A">
        <w:t xml:space="preserve"> </w:t>
      </w:r>
      <w:r w:rsidR="00E34264" w:rsidRPr="0073353A">
        <w:t>nieaktualn</w:t>
      </w:r>
      <w:r w:rsidR="00E34264">
        <w:t xml:space="preserve">ość programu rewitalizacji </w:t>
      </w:r>
      <w:r w:rsidR="0073353A" w:rsidRPr="0073353A">
        <w:t xml:space="preserve">w dużej mierze odpowiada za </w:t>
      </w:r>
      <w:r w:rsidR="0073353A">
        <w:t xml:space="preserve">niezadawalające wyniki </w:t>
      </w:r>
      <w:r w:rsidR="00564710">
        <w:t xml:space="preserve">zaawansowania w </w:t>
      </w:r>
      <w:r w:rsidR="0073353A" w:rsidRPr="0073353A">
        <w:t xml:space="preserve">realizacji </w:t>
      </w:r>
      <w:r w:rsidR="00564710">
        <w:t xml:space="preserve">jego </w:t>
      </w:r>
      <w:r w:rsidR="0073353A" w:rsidRPr="0073353A">
        <w:t>celów.</w:t>
      </w:r>
      <w:r w:rsidR="0073353A">
        <w:t xml:space="preserve"> Dlatego gminy </w:t>
      </w:r>
      <w:r w:rsidR="00A53CB0">
        <w:t xml:space="preserve">za pomocą prowadzonego </w:t>
      </w:r>
      <w:r w:rsidR="0073353A">
        <w:t xml:space="preserve">regularnie </w:t>
      </w:r>
      <w:r w:rsidR="00A53CB0">
        <w:t xml:space="preserve">monitoringu powinny </w:t>
      </w:r>
      <w:r w:rsidR="004A07AC">
        <w:t>badać aktualność programu</w:t>
      </w:r>
      <w:r w:rsidR="00056E76">
        <w:t>,</w:t>
      </w:r>
      <w:r w:rsidR="004A07AC">
        <w:t xml:space="preserve"> a</w:t>
      </w:r>
      <w:r w:rsidR="0073353A">
        <w:t xml:space="preserve"> w przypadku stwierdzenia jego dezaktualizacji</w:t>
      </w:r>
      <w:r w:rsidR="00056E76">
        <w:t>,</w:t>
      </w:r>
      <w:r w:rsidR="0073353A">
        <w:t xml:space="preserve"> wprowadzać </w:t>
      </w:r>
      <w:r w:rsidR="008B0004">
        <w:t xml:space="preserve">zmiany </w:t>
      </w:r>
      <w:r w:rsidR="0073353A">
        <w:t xml:space="preserve">zgodnie </w:t>
      </w:r>
      <w:r w:rsidR="00564710">
        <w:br/>
        <w:t xml:space="preserve">z przewidzianymi </w:t>
      </w:r>
      <w:r w:rsidR="0073353A">
        <w:t>procedurami.</w:t>
      </w:r>
      <w:r w:rsidR="00AB11F5">
        <w:t xml:space="preserve"> Zasady aktualizacji różnią się w zależności od trybu uchwalania programów, tzn. od tego, czy są to gminne programy rewitalizacji (GPR)</w:t>
      </w:r>
      <w:r w:rsidR="008B0004">
        <w:t>,</w:t>
      </w:r>
      <w:r w:rsidR="00AB11F5">
        <w:t xml:space="preserve"> przyjmowane na podstawie ustawy</w:t>
      </w:r>
      <w:r w:rsidR="00655BF1">
        <w:t xml:space="preserve"> z dnia 15 października 2015 r. o rewitalizacji</w:t>
      </w:r>
      <w:r w:rsidR="00AB11F5">
        <w:t xml:space="preserve"> </w:t>
      </w:r>
      <w:r w:rsidR="00655BF1">
        <w:t xml:space="preserve">(ustawa </w:t>
      </w:r>
      <w:r w:rsidR="00AB11F5">
        <w:t>o rewitalizac</w:t>
      </w:r>
      <w:r w:rsidR="004A07AC">
        <w:t>ji</w:t>
      </w:r>
      <w:r w:rsidR="00655BF1">
        <w:t>)</w:t>
      </w:r>
      <w:r w:rsidR="00985812">
        <w:rPr>
          <w:rStyle w:val="Odwoanieprzypisudolnego"/>
        </w:rPr>
        <w:footnoteReference w:id="1"/>
      </w:r>
      <w:r w:rsidR="004A07AC">
        <w:t xml:space="preserve">, czy </w:t>
      </w:r>
      <w:r w:rsidR="00AB11F5">
        <w:t>lokalne programy rewitalizacji (LPR/PR)</w:t>
      </w:r>
      <w:r w:rsidR="008B0004">
        <w:t>,</w:t>
      </w:r>
      <w:r w:rsidR="00AB11F5">
        <w:t xml:space="preserve"> </w:t>
      </w:r>
      <w:r w:rsidR="007D541B">
        <w:t>ustanawiane w oparciu o ustawę o samorządzie gminnym</w:t>
      </w:r>
      <w:r w:rsidR="00985812">
        <w:rPr>
          <w:rStyle w:val="Odwoanieprzypisudolnego"/>
        </w:rPr>
        <w:footnoteReference w:id="2"/>
      </w:r>
      <w:r w:rsidR="007D541B">
        <w:t>.</w:t>
      </w:r>
      <w:r w:rsidR="00D143AF">
        <w:t xml:space="preserve"> </w:t>
      </w:r>
      <w:r w:rsidR="004A07AC">
        <w:t>Najczęstszym powodem podejmowania</w:t>
      </w:r>
      <w:r w:rsidR="00D143AF">
        <w:t xml:space="preserve"> </w:t>
      </w:r>
      <w:r w:rsidR="00056E76">
        <w:t xml:space="preserve">takiej decyzji </w:t>
      </w:r>
      <w:r w:rsidR="00D143AF">
        <w:t xml:space="preserve">przez </w:t>
      </w:r>
      <w:r w:rsidR="00056E76">
        <w:t xml:space="preserve">włodarzy gmin </w:t>
      </w:r>
      <w:r w:rsidR="00D143AF">
        <w:t xml:space="preserve">jest </w:t>
      </w:r>
      <w:r w:rsidR="00056E76">
        <w:t>zazwyczaj konieczność wprowadza</w:t>
      </w:r>
      <w:r w:rsidR="00D143AF">
        <w:t>nia zmian na liście przedsięwzięć podstawowych.</w:t>
      </w:r>
    </w:p>
    <w:p w14:paraId="0FD25BAC" w14:textId="77777777" w:rsidR="0024679F" w:rsidRDefault="00051497" w:rsidP="00BC7694">
      <w:pPr>
        <w:spacing w:line="276" w:lineRule="auto"/>
        <w:jc w:val="both"/>
        <w:rPr>
          <w:b/>
        </w:rPr>
      </w:pPr>
      <w:r>
        <w:rPr>
          <w:b/>
        </w:rPr>
        <w:t>Aktualizacja GPR</w:t>
      </w:r>
    </w:p>
    <w:p w14:paraId="14138152" w14:textId="7B0FE9CB" w:rsidR="00031017" w:rsidRDefault="00031017" w:rsidP="00BC7694">
      <w:pPr>
        <w:spacing w:line="276" w:lineRule="auto"/>
        <w:jc w:val="both"/>
      </w:pPr>
      <w:r>
        <w:t xml:space="preserve">W przypadku GPR </w:t>
      </w:r>
      <w:r w:rsidR="00051497">
        <w:t xml:space="preserve">zasady </w:t>
      </w:r>
      <w:r>
        <w:t xml:space="preserve">i tryb </w:t>
      </w:r>
      <w:r w:rsidR="000907C9">
        <w:t xml:space="preserve">wprowadzania zmian do obowiązującego programu są jasne – zostały </w:t>
      </w:r>
      <w:r>
        <w:t>bowiem ujęte</w:t>
      </w:r>
      <w:r w:rsidR="000907C9">
        <w:t xml:space="preserve"> w ustawie o rewitalizacji</w:t>
      </w:r>
      <w:r w:rsidR="009A7188">
        <w:t xml:space="preserve">. Ustawodawca nie wymienia </w:t>
      </w:r>
      <w:r w:rsidR="006F3C75">
        <w:t xml:space="preserve">co prawda </w:t>
      </w:r>
      <w:r w:rsidR="009A7188">
        <w:t>przesłanek</w:t>
      </w:r>
      <w:r w:rsidR="006F3C75">
        <w:t xml:space="preserve"> do ewentualnych zmian</w:t>
      </w:r>
      <w:r w:rsidR="009A7188">
        <w:t xml:space="preserve">, a jedynie </w:t>
      </w:r>
      <w:r w:rsidR="00E77BF2">
        <w:t xml:space="preserve">narzuca </w:t>
      </w:r>
      <w:r w:rsidR="009A7188">
        <w:t>w art. 22 obowiązek oceny aktualności i stopnia realizacji GPR</w:t>
      </w:r>
      <w:r w:rsidR="00E77BF2">
        <w:t xml:space="preserve">. </w:t>
      </w:r>
      <w:r w:rsidR="00644FD4">
        <w:t>Ocena ta powinna być dokonywana nie rzadziej</w:t>
      </w:r>
      <w:r w:rsidR="008B0004">
        <w:t>,</w:t>
      </w:r>
      <w:r w:rsidR="00644FD4">
        <w:t xml:space="preserve"> niż raz na trzy lata, </w:t>
      </w:r>
      <w:r w:rsidR="008B0004">
        <w:br/>
      </w:r>
      <w:r w:rsidR="00644FD4">
        <w:t>a o</w:t>
      </w:r>
      <w:r w:rsidR="00E77BF2">
        <w:t xml:space="preserve">bowiązek </w:t>
      </w:r>
      <w:r w:rsidR="00644FD4">
        <w:t>jej przeprowadzenia</w:t>
      </w:r>
      <w:r>
        <w:t xml:space="preserve"> spoczywa</w:t>
      </w:r>
      <w:r w:rsidR="007846C6">
        <w:t xml:space="preserve"> na wójcie/ burmistrzu/prezydencie.</w:t>
      </w:r>
    </w:p>
    <w:p w14:paraId="4B54E43B" w14:textId="4F172878" w:rsidR="00D945AE" w:rsidRPr="004A07AC" w:rsidRDefault="00D945AE" w:rsidP="00BC7694">
      <w:pPr>
        <w:spacing w:line="276" w:lineRule="auto"/>
        <w:jc w:val="center"/>
        <w:rPr>
          <w:b/>
        </w:rPr>
      </w:pPr>
      <w:r w:rsidRPr="004A07AC">
        <w:rPr>
          <w:b/>
        </w:rPr>
        <w:t xml:space="preserve">Ocena </w:t>
      </w:r>
      <w:r w:rsidR="006F3C75">
        <w:rPr>
          <w:b/>
        </w:rPr>
        <w:t xml:space="preserve">aktualności programu </w:t>
      </w:r>
      <w:r w:rsidRPr="004A07AC">
        <w:rPr>
          <w:b/>
        </w:rPr>
        <w:t xml:space="preserve">ma dać odpowiedź </w:t>
      </w:r>
      <w:r w:rsidR="0093426C">
        <w:rPr>
          <w:b/>
        </w:rPr>
        <w:t xml:space="preserve">na </w:t>
      </w:r>
      <w:r w:rsidR="00DF33AE">
        <w:rPr>
          <w:b/>
        </w:rPr>
        <w:t xml:space="preserve">dwa </w:t>
      </w:r>
      <w:r w:rsidRPr="004A07AC">
        <w:rPr>
          <w:b/>
        </w:rPr>
        <w:t>pytania:</w:t>
      </w:r>
    </w:p>
    <w:p w14:paraId="12C4832D" w14:textId="77777777" w:rsidR="00D945AE" w:rsidRDefault="00D945AE" w:rsidP="00BC7694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DB78A" wp14:editId="686EFEF1">
                <wp:simplePos x="0" y="0"/>
                <wp:positionH relativeFrom="column">
                  <wp:posOffset>-52071</wp:posOffset>
                </wp:positionH>
                <wp:positionV relativeFrom="paragraph">
                  <wp:posOffset>46355</wp:posOffset>
                </wp:positionV>
                <wp:extent cx="2428875" cy="1514475"/>
                <wp:effectExtent l="0" t="0" r="28575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514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64239" w14:textId="77777777" w:rsidR="00D945AE" w:rsidRPr="00D945AE" w:rsidRDefault="00D945AE" w:rsidP="003764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C</w:t>
                            </w:r>
                            <w:r w:rsidRPr="00D945AE">
                              <w:rPr>
                                <w:sz w:val="18"/>
                                <w:szCs w:val="18"/>
                              </w:rPr>
                              <w:t xml:space="preserve">zy treść programu jest nadal aktualna, tj. czy </w:t>
                            </w:r>
                            <w:r w:rsidR="00DF33AE">
                              <w:rPr>
                                <w:sz w:val="18"/>
                                <w:szCs w:val="18"/>
                              </w:rPr>
                              <w:t xml:space="preserve">elementy ważne dla jego realizacji </w:t>
                            </w:r>
                            <w:r w:rsidRPr="00D945AE">
                              <w:rPr>
                                <w:sz w:val="18"/>
                                <w:szCs w:val="18"/>
                              </w:rPr>
                              <w:t>odpowiada</w:t>
                            </w:r>
                            <w:r w:rsidR="00DF33AE">
                              <w:rPr>
                                <w:sz w:val="18"/>
                                <w:szCs w:val="18"/>
                              </w:rPr>
                              <w:t>ją stanowi faktycznemu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5DB78A" id="Elipsa 1" o:spid="_x0000_s1026" style="position:absolute;left:0;text-align:left;margin-left:-4.1pt;margin-top:3.65pt;width:19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" fillcolor="white [3201]" strokecolor="#ffd966 [1943]" strokeweight="1pt">
                <v:stroke joinstyle="miter"/>
                <v:textbox>
                  <w:txbxContent>
                    <w:p w14:paraId="5B364239" w14:textId="77777777" w:rsidR="00D945AE" w:rsidRPr="00D945AE" w:rsidRDefault="00D945AE" w:rsidP="003764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C</w:t>
                      </w:r>
                      <w:r w:rsidRPr="00D945AE">
                        <w:rPr>
                          <w:sz w:val="18"/>
                          <w:szCs w:val="18"/>
                        </w:rPr>
                        <w:t xml:space="preserve">zy treść programu jest nadal aktualna, tj. czy </w:t>
                      </w:r>
                      <w:r w:rsidR="00DF33AE">
                        <w:rPr>
                          <w:sz w:val="18"/>
                          <w:szCs w:val="18"/>
                        </w:rPr>
                        <w:t xml:space="preserve">elementy ważne dla jego realizacji </w:t>
                      </w:r>
                      <w:r w:rsidRPr="00D945AE">
                        <w:rPr>
                          <w:sz w:val="18"/>
                          <w:szCs w:val="18"/>
                        </w:rPr>
                        <w:t>odpowiada</w:t>
                      </w:r>
                      <w:r w:rsidR="00DF33AE">
                        <w:rPr>
                          <w:sz w:val="18"/>
                          <w:szCs w:val="18"/>
                        </w:rPr>
                        <w:t>ją stanowi faktycznemu</w:t>
                      </w: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1E469" wp14:editId="22843E61">
                <wp:simplePos x="0" y="0"/>
                <wp:positionH relativeFrom="column">
                  <wp:posOffset>3234055</wp:posOffset>
                </wp:positionH>
                <wp:positionV relativeFrom="paragraph">
                  <wp:posOffset>46355</wp:posOffset>
                </wp:positionV>
                <wp:extent cx="2266950" cy="1514475"/>
                <wp:effectExtent l="0" t="0" r="19050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514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519F6" w14:textId="77777777" w:rsidR="00D945AE" w:rsidRPr="00D945AE" w:rsidRDefault="00DF33AE" w:rsidP="003764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Czy i w</w:t>
                            </w:r>
                            <w:r w:rsidR="00D945AE" w:rsidRPr="00D945AE">
                              <w:rPr>
                                <w:sz w:val="18"/>
                                <w:szCs w:val="18"/>
                              </w:rPr>
                              <w:t xml:space="preserve"> jakim stopniu zaplanowane przedsięwzięcia zostały zrealizowane zgodnie z przyjętym harmonogramem?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1E469" id="Elipsa 3" o:spid="_x0000_s1027" style="position:absolute;left:0;text-align:left;margin-left:254.65pt;margin-top:3.65pt;width:178.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" fillcolor="white [3201]" strokecolor="#ffd966 [1943]" strokeweight="1pt">
                <v:stroke joinstyle="miter"/>
                <v:textbox>
                  <w:txbxContent>
                    <w:p w14:paraId="0B3519F6" w14:textId="77777777" w:rsidR="00D945AE" w:rsidRPr="00D945AE" w:rsidRDefault="00DF33AE" w:rsidP="003764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Czy i w</w:t>
                      </w:r>
                      <w:r w:rsidR="00D945AE" w:rsidRPr="00D945AE">
                        <w:rPr>
                          <w:sz w:val="18"/>
                          <w:szCs w:val="18"/>
                        </w:rPr>
                        <w:t xml:space="preserve"> jakim stopniu zaplanowane przedsięwzięcia zostały zrealizowane zgodnie z przyjętym harmonogramem?</w:t>
                      </w:r>
                    </w:p>
                  </w:txbxContent>
                </v:textbox>
              </v:oval>
            </w:pict>
          </mc:Fallback>
        </mc:AlternateContent>
      </w:r>
    </w:p>
    <w:p w14:paraId="17E923BA" w14:textId="77777777" w:rsidR="00D945AE" w:rsidRDefault="00D945AE" w:rsidP="00BC7694">
      <w:pPr>
        <w:spacing w:line="276" w:lineRule="auto"/>
        <w:jc w:val="both"/>
      </w:pPr>
    </w:p>
    <w:p w14:paraId="660C49E5" w14:textId="77777777" w:rsidR="00D945AE" w:rsidRDefault="00D945AE" w:rsidP="00BC7694">
      <w:pPr>
        <w:spacing w:line="276" w:lineRule="auto"/>
        <w:jc w:val="both"/>
      </w:pPr>
    </w:p>
    <w:p w14:paraId="007BC04B" w14:textId="77777777" w:rsidR="00D945AE" w:rsidRDefault="00D945AE" w:rsidP="00BC7694">
      <w:pPr>
        <w:spacing w:line="276" w:lineRule="auto"/>
        <w:jc w:val="both"/>
      </w:pPr>
    </w:p>
    <w:p w14:paraId="7F8F6D6D" w14:textId="2E6E217A" w:rsidR="00161953" w:rsidRDefault="00DF33AE" w:rsidP="00BC7694">
      <w:pPr>
        <w:spacing w:line="276" w:lineRule="auto"/>
        <w:jc w:val="both"/>
      </w:pPr>
      <w:r>
        <w:lastRenderedPageBreak/>
        <w:t>W myśl ustawy</w:t>
      </w:r>
      <w:r w:rsidR="007846C6">
        <w:t xml:space="preserve"> p</w:t>
      </w:r>
      <w:r w:rsidR="009A7188">
        <w:t>rocedura</w:t>
      </w:r>
      <w:r w:rsidR="007846C6">
        <w:t xml:space="preserve"> sporządzania oceny </w:t>
      </w:r>
      <w:r>
        <w:t>programu musi mieć</w:t>
      </w:r>
      <w:r w:rsidR="007846C6">
        <w:t xml:space="preserve"> </w:t>
      </w:r>
      <w:r w:rsidR="009A7188">
        <w:t>party</w:t>
      </w:r>
      <w:r w:rsidR="007846C6">
        <w:t>cypacyjny charakter</w:t>
      </w:r>
      <w:r w:rsidR="009A7188">
        <w:t xml:space="preserve">. </w:t>
      </w:r>
      <w:r w:rsidR="007846C6">
        <w:t xml:space="preserve">Dlatego </w:t>
      </w:r>
      <w:r w:rsidR="009A7188">
        <w:t>wójt</w:t>
      </w:r>
      <w:r w:rsidR="00961BAD">
        <w:t>/burmistrz/prezydent</w:t>
      </w:r>
      <w:r w:rsidR="009A7188">
        <w:t xml:space="preserve"> przedstawia </w:t>
      </w:r>
      <w:r w:rsidR="00F6767D">
        <w:t xml:space="preserve">jej wyniki </w:t>
      </w:r>
      <w:r w:rsidR="009A7188">
        <w:t>do zaopiniowan</w:t>
      </w:r>
      <w:r w:rsidR="007846C6">
        <w:t xml:space="preserve">ia Komitetowi Rewitalizacji (KR) </w:t>
      </w:r>
      <w:r w:rsidR="00B42542">
        <w:br/>
      </w:r>
      <w:r w:rsidR="007846C6">
        <w:t xml:space="preserve">i ogłasza </w:t>
      </w:r>
      <w:r w:rsidR="00F6767D">
        <w:t xml:space="preserve">je </w:t>
      </w:r>
      <w:r w:rsidR="009A7188">
        <w:t xml:space="preserve">w Biuletynie Informacji Publicznej. </w:t>
      </w:r>
      <w:r w:rsidR="00161953">
        <w:t>Zaleca się, żeby przesłanki do aktualizacji GPR zostały określone w dokumencie. W przypadku ich zaistnienia wójt/burmistrz/prezydent występuje do rady gminy z wnioskiem o zmianę GPR, do którego dołącza opinię KR, która jednak nie ma charakteru wiążącego.</w:t>
      </w:r>
    </w:p>
    <w:p w14:paraId="3C65F342" w14:textId="77777777" w:rsidR="00961BAD" w:rsidRDefault="00161953" w:rsidP="00BC7694">
      <w:pPr>
        <w:spacing w:line="276" w:lineRule="auto"/>
        <w:jc w:val="both"/>
      </w:pPr>
      <w:r>
        <w:t>Najczęściej d</w:t>
      </w:r>
      <w:r w:rsidR="00961BAD">
        <w:t>ecyzję co do aktualizacji pro</w:t>
      </w:r>
      <w:r w:rsidR="00DF33AE">
        <w:t xml:space="preserve">gramu </w:t>
      </w:r>
      <w:r>
        <w:t>wywołują następujące przypadki</w:t>
      </w:r>
      <w:r w:rsidR="00DF33AE">
        <w:t>:</w:t>
      </w:r>
    </w:p>
    <w:p w14:paraId="2E320890" w14:textId="77777777" w:rsidR="00593832" w:rsidRDefault="00593832" w:rsidP="00BC7694">
      <w:pPr>
        <w:pStyle w:val="Akapitzlist"/>
        <w:numPr>
          <w:ilvl w:val="0"/>
          <w:numId w:val="11"/>
        </w:numPr>
        <w:spacing w:line="276" w:lineRule="auto"/>
      </w:pPr>
      <w:r>
        <w:t>konieczność dokonania zmian na liście przedsięwzięć podstawowych programu,</w:t>
      </w:r>
    </w:p>
    <w:p w14:paraId="507F5121" w14:textId="77777777" w:rsidR="00961BAD" w:rsidRDefault="00961BAD" w:rsidP="00BC7694">
      <w:pPr>
        <w:pStyle w:val="Akapitzlist"/>
        <w:numPr>
          <w:ilvl w:val="0"/>
          <w:numId w:val="11"/>
        </w:numPr>
        <w:spacing w:line="276" w:lineRule="auto"/>
      </w:pPr>
      <w:r>
        <w:t>nieosiągnięci</w:t>
      </w:r>
      <w:r w:rsidR="00161953">
        <w:t>e</w:t>
      </w:r>
      <w:r>
        <w:t xml:space="preserve"> zakładanych wskaźników podczas monitorowania,</w:t>
      </w:r>
    </w:p>
    <w:p w14:paraId="3F585081" w14:textId="77777777" w:rsidR="00961BAD" w:rsidRDefault="00CE0677" w:rsidP="00BC7694">
      <w:pPr>
        <w:pStyle w:val="Akapitzlist"/>
        <w:numPr>
          <w:ilvl w:val="0"/>
          <w:numId w:val="11"/>
        </w:numPr>
        <w:spacing w:line="276" w:lineRule="auto"/>
      </w:pPr>
      <w:r>
        <w:t>nieterminow</w:t>
      </w:r>
      <w:r w:rsidR="00161953">
        <w:t>a</w:t>
      </w:r>
      <w:r w:rsidR="00593832">
        <w:t xml:space="preserve"> realizacja</w:t>
      </w:r>
      <w:r>
        <w:t xml:space="preserve"> przedsięwzięć w odniesieniu do założeń</w:t>
      </w:r>
      <w:r w:rsidR="00961BAD">
        <w:t xml:space="preserve"> </w:t>
      </w:r>
      <w:r w:rsidR="00593832">
        <w:t>programu</w:t>
      </w:r>
      <w:r w:rsidR="00961BAD">
        <w:t xml:space="preserve">, </w:t>
      </w:r>
    </w:p>
    <w:p w14:paraId="3A1545D2" w14:textId="77777777" w:rsidR="00961BAD" w:rsidRDefault="00961BAD" w:rsidP="00BC7694">
      <w:pPr>
        <w:pStyle w:val="Akapitzlist"/>
        <w:numPr>
          <w:ilvl w:val="0"/>
          <w:numId w:val="11"/>
        </w:numPr>
        <w:spacing w:line="276" w:lineRule="auto"/>
        <w:jc w:val="both"/>
      </w:pPr>
      <w:r>
        <w:t>rekomendacj</w:t>
      </w:r>
      <w:r w:rsidR="007074BD">
        <w:t>a</w:t>
      </w:r>
      <w:r>
        <w:t xml:space="preserve"> Komite</w:t>
      </w:r>
      <w:r w:rsidR="00DF33AE">
        <w:t xml:space="preserve">tu Rewitalizacji </w:t>
      </w:r>
      <w:r w:rsidR="007074BD">
        <w:t xml:space="preserve">wynikająca z </w:t>
      </w:r>
      <w:r w:rsidR="00CE0677">
        <w:t>negatywnej oceny</w:t>
      </w:r>
      <w:r>
        <w:t xml:space="preserve"> efektywn</w:t>
      </w:r>
      <w:r w:rsidR="00CE0677">
        <w:t>ości działań rewitalizacyjnych.</w:t>
      </w:r>
    </w:p>
    <w:p w14:paraId="5D2464C6" w14:textId="2E584382" w:rsidR="00AB39A6" w:rsidRDefault="00C70400" w:rsidP="00AB39A6">
      <w:pPr>
        <w:spacing w:line="276" w:lineRule="auto"/>
        <w:jc w:val="both"/>
      </w:pPr>
      <w:r>
        <w:t>Aktualizacja</w:t>
      </w:r>
      <w:r w:rsidR="00DF33AE">
        <w:t xml:space="preserve"> GPR następuje w trybie – prze</w:t>
      </w:r>
      <w:r w:rsidR="00B52502">
        <w:t>d</w:t>
      </w:r>
      <w:r w:rsidR="00DF33AE">
        <w:t>stawionym w art. 17 ustawy –</w:t>
      </w:r>
      <w:r>
        <w:t xml:space="preserve"> </w:t>
      </w:r>
      <w:r w:rsidR="00961BAD">
        <w:t xml:space="preserve">w jakim jest on uchwalany. </w:t>
      </w:r>
      <w:r w:rsidR="00353413">
        <w:t>Oznacza to, że zgodnie z partycypacyjnym charakterem procesu rewitalizacji po wprowadzeniu zmian dokument musi zostać poddany konsultacjom społeczny</w:t>
      </w:r>
      <w:r>
        <w:t>m w sposób i w formach, jaki</w:t>
      </w:r>
      <w:r w:rsidR="00DF33AE">
        <w:t>e</w:t>
      </w:r>
      <w:r>
        <w:t xml:space="preserve"> przewiduje </w:t>
      </w:r>
      <w:r w:rsidR="00D01A06">
        <w:br/>
      </w:r>
      <w:r w:rsidR="00DF33AE">
        <w:t>art. 6 ustawy</w:t>
      </w:r>
      <w:r>
        <w:t xml:space="preserve">. Po ich przeprowadzeniu konieczne jest też wprowadzenie z nich wynikających </w:t>
      </w:r>
      <w:r w:rsidR="007F0F57">
        <w:t xml:space="preserve">zmian </w:t>
      </w:r>
      <w:r w:rsidR="00D01A06">
        <w:br/>
      </w:r>
      <w:r>
        <w:t>do opracowanego dokumentu. Musi on także zostać zaopiniowany przez uprawnione or</w:t>
      </w:r>
      <w:r w:rsidR="00DF33AE">
        <w:t>gany wymienione w art. 17 ust</w:t>
      </w:r>
      <w:r w:rsidR="006D571E">
        <w:t>.</w:t>
      </w:r>
      <w:r w:rsidR="00DF33AE">
        <w:t xml:space="preserve"> 4, w tym</w:t>
      </w:r>
      <w:r>
        <w:t xml:space="preserve"> </w:t>
      </w:r>
      <w:r w:rsidR="00DF33AE">
        <w:t xml:space="preserve">poddany </w:t>
      </w:r>
      <w:r w:rsidR="007074BD">
        <w:t>s</w:t>
      </w:r>
      <w:r w:rsidR="00DF33AE">
        <w:t xml:space="preserve">trategicznej ocenie oddziaływania na środowisko. </w:t>
      </w:r>
      <w:r w:rsidR="00AB39A6">
        <w:t>Przeprowadzenie postępowania w sprawie strategicznej oceny oddziaływania na środowisko jest konieczne w przypadku grupy projektów, planów i programów określon</w:t>
      </w:r>
      <w:r w:rsidR="00D01A06">
        <w:t xml:space="preserve">ych </w:t>
      </w:r>
      <w:r w:rsidR="00AB39A6">
        <w:t xml:space="preserve">w art. 46 ustawy z dnia </w:t>
      </w:r>
      <w:r w:rsidR="00D01A06">
        <w:br/>
      </w:r>
      <w:r w:rsidR="00AB39A6">
        <w:t>3 października 2008 r. o udostępnianiu informacji o środowisk</w:t>
      </w:r>
      <w:r w:rsidR="007C0915">
        <w:t>u</w:t>
      </w:r>
      <w:r w:rsidR="00AB39A6">
        <w:t xml:space="preserve"> i jego </w:t>
      </w:r>
      <w:r w:rsidR="00655BF1">
        <w:t>ochronie</w:t>
      </w:r>
      <w:r w:rsidR="00AB39A6">
        <w:t xml:space="preserve"> udziale społeczeństwa w ochronie środowiska oraz o ocenach oddziaływania na środowisko</w:t>
      </w:r>
      <w:r w:rsidR="006D571E">
        <w:rPr>
          <w:rStyle w:val="Odwoanieprzypisudolnego"/>
        </w:rPr>
        <w:footnoteReference w:id="3"/>
      </w:r>
      <w:r w:rsidR="00AB39A6">
        <w:t>, a także w sytuacji wprowadzania zmian do już przyjęt</w:t>
      </w:r>
      <w:r w:rsidR="00D01A06">
        <w:t xml:space="preserve">ych </w:t>
      </w:r>
      <w:r w:rsidR="00AB39A6">
        <w:t>dokument</w:t>
      </w:r>
      <w:r w:rsidR="00D01A06">
        <w:t>ów</w:t>
      </w:r>
      <w:r w:rsidR="00AB39A6">
        <w:t xml:space="preserve"> </w:t>
      </w:r>
      <w:r w:rsidR="006D571E">
        <w:t xml:space="preserve">(art. </w:t>
      </w:r>
      <w:r w:rsidR="00D330EF">
        <w:t>47 tejże ustawy</w:t>
      </w:r>
      <w:r w:rsidR="006D571E">
        <w:t xml:space="preserve">). </w:t>
      </w:r>
    </w:p>
    <w:p w14:paraId="583AF7D0" w14:textId="77777777" w:rsidR="00353413" w:rsidRDefault="007F0F57" w:rsidP="00BC7694">
      <w:pPr>
        <w:spacing w:line="276" w:lineRule="auto"/>
        <w:jc w:val="both"/>
      </w:pPr>
      <w:r>
        <w:t>J</w:t>
      </w:r>
      <w:r w:rsidR="000F5A36">
        <w:t xml:space="preserve">eśli </w:t>
      </w:r>
      <w:r>
        <w:t xml:space="preserve">jednak </w:t>
      </w:r>
      <w:r w:rsidR="000F5A36">
        <w:t xml:space="preserve">aktualizacja nie dotyczy </w:t>
      </w:r>
      <w:r w:rsidR="009E5875">
        <w:t xml:space="preserve">listy </w:t>
      </w:r>
      <w:r w:rsidR="000F5A36">
        <w:t xml:space="preserve">przedsięwzięć </w:t>
      </w:r>
      <w:r w:rsidR="009E5875">
        <w:t>podstawowych lub wprowadzane zmiany nie wymuszają zmiany uchwały w sprawie ustanowieni</w:t>
      </w:r>
      <w:r w:rsidR="00D01A06">
        <w:t>a</w:t>
      </w:r>
      <w:r w:rsidR="009E5875">
        <w:t xml:space="preserve"> Specjalnej Strefy Rewitalizacji, przewiduje się</w:t>
      </w:r>
      <w:r w:rsidR="009F4F18">
        <w:t xml:space="preserve"> uproszczoną procedurę</w:t>
      </w:r>
      <w:r w:rsidR="00DF33AE">
        <w:t xml:space="preserve"> przyjęcia zmienionego GPR –</w:t>
      </w:r>
      <w:r w:rsidR="009E5875">
        <w:t xml:space="preserve"> bez</w:t>
      </w:r>
      <w:r w:rsidR="000F5A36">
        <w:t xml:space="preserve"> konsultacji </w:t>
      </w:r>
      <w:r w:rsidR="009E5875">
        <w:t xml:space="preserve">społecznych </w:t>
      </w:r>
      <w:r w:rsidR="000F5A36">
        <w:t>i występowania</w:t>
      </w:r>
      <w:r w:rsidR="009F4F18">
        <w:t xml:space="preserve"> </w:t>
      </w:r>
      <w:r w:rsidR="00D01A06">
        <w:br/>
      </w:r>
      <w:r w:rsidR="009F4F18">
        <w:t>o</w:t>
      </w:r>
      <w:r w:rsidR="000F5A36">
        <w:t xml:space="preserve"> opinię uprawnionych organów</w:t>
      </w:r>
      <w:r w:rsidR="002E0AEA">
        <w:t>, co znacznie skraca czas przyjęcia zaktualizowanego dokumentu</w:t>
      </w:r>
      <w:r w:rsidR="009E5875">
        <w:t>.</w:t>
      </w:r>
    </w:p>
    <w:p w14:paraId="6941D860" w14:textId="77777777" w:rsidR="0016508C" w:rsidRDefault="0016508C" w:rsidP="00BC7694">
      <w:pPr>
        <w:spacing w:line="276" w:lineRule="auto"/>
        <w:jc w:val="both"/>
        <w:rPr>
          <w:b/>
        </w:rPr>
      </w:pPr>
      <w:r>
        <w:rPr>
          <w:b/>
        </w:rPr>
        <w:t>Aktualizac</w:t>
      </w:r>
      <w:r w:rsidR="007310BD">
        <w:rPr>
          <w:b/>
        </w:rPr>
        <w:t xml:space="preserve">ja </w:t>
      </w:r>
      <w:r w:rsidR="00031017">
        <w:rPr>
          <w:b/>
        </w:rPr>
        <w:t>L</w:t>
      </w:r>
      <w:r>
        <w:rPr>
          <w:b/>
        </w:rPr>
        <w:t>PR</w:t>
      </w:r>
      <w:r w:rsidR="00031017">
        <w:rPr>
          <w:b/>
        </w:rPr>
        <w:t>/</w:t>
      </w:r>
      <w:r>
        <w:rPr>
          <w:b/>
        </w:rPr>
        <w:t>PR</w:t>
      </w:r>
    </w:p>
    <w:p w14:paraId="1E16D7B5" w14:textId="7D9BF641" w:rsidR="00810F6B" w:rsidRDefault="007310BD" w:rsidP="00BC7694">
      <w:pPr>
        <w:spacing w:line="276" w:lineRule="auto"/>
        <w:jc w:val="both"/>
      </w:pPr>
      <w:r>
        <w:t xml:space="preserve">W przypadku programów rewitalizacji uchwalanych na postawie ustawy z dnia 8 marca 1990 r. </w:t>
      </w:r>
      <w:r w:rsidR="00D96607">
        <w:br/>
      </w:r>
      <w:r>
        <w:t>o samorządzie</w:t>
      </w:r>
      <w:r w:rsidR="0033217D">
        <w:t xml:space="preserve"> gminnym</w:t>
      </w:r>
      <w:r w:rsidR="00F222EF">
        <w:t>,</w:t>
      </w:r>
      <w:r w:rsidR="00BB4749">
        <w:t xml:space="preserve"> wszystkie kwestie</w:t>
      </w:r>
      <w:r>
        <w:t xml:space="preserve"> </w:t>
      </w:r>
      <w:r w:rsidR="00BB4749">
        <w:t>proceduralne</w:t>
      </w:r>
      <w:r>
        <w:t xml:space="preserve"> </w:t>
      </w:r>
      <w:r w:rsidR="00BB4749">
        <w:t xml:space="preserve">związane z ich funkcjonowaniem regulują </w:t>
      </w:r>
      <w:r>
        <w:t>Wytyczne</w:t>
      </w:r>
      <w:r w:rsidR="000868E4">
        <w:t xml:space="preserve"> w zakresie rewitalizacji w programach operacyjnych na lata 2014-2020</w:t>
      </w:r>
      <w:r w:rsidR="00574D74">
        <w:t xml:space="preserve"> (Wytyczne)</w:t>
      </w:r>
      <w:r w:rsidR="000868E4">
        <w:t xml:space="preserve">. </w:t>
      </w:r>
      <w:r w:rsidR="009845CB">
        <w:t xml:space="preserve">Dokument ten </w:t>
      </w:r>
      <w:r w:rsidR="00F24EB3">
        <w:t>nie precyzuje trybu i zasad prowadzenia zarówno monitoringu, jak i ewentualnej aktualizacji</w:t>
      </w:r>
      <w:r w:rsidR="0036767E">
        <w:t xml:space="preserve"> programu</w:t>
      </w:r>
      <w:r w:rsidR="00F24EB3">
        <w:t xml:space="preserve">. W </w:t>
      </w:r>
      <w:r w:rsidR="00D330EF">
        <w:t>załączniku do Wytycznych w pkt</w:t>
      </w:r>
      <w:r w:rsidR="00F24EB3">
        <w:t xml:space="preserve"> 5, który wymienia obowiązkowe elementy </w:t>
      </w:r>
      <w:r w:rsidR="0033217D">
        <w:t>LPR/</w:t>
      </w:r>
      <w:r w:rsidR="00F24EB3">
        <w:t xml:space="preserve">PR, w </w:t>
      </w:r>
      <w:proofErr w:type="spellStart"/>
      <w:r w:rsidR="00F24EB3">
        <w:t>p</w:t>
      </w:r>
      <w:r w:rsidR="00D330EF">
        <w:t>p</w:t>
      </w:r>
      <w:r w:rsidR="00F24EB3">
        <w:t>kt</w:t>
      </w:r>
      <w:proofErr w:type="spellEnd"/>
      <w:r w:rsidR="00F24EB3">
        <w:t xml:space="preserve"> </w:t>
      </w:r>
      <w:r w:rsidR="00D330EF">
        <w:t xml:space="preserve">1) lit. </w:t>
      </w:r>
      <w:r w:rsidR="00F24EB3">
        <w:t>l system monitoringu i oc</w:t>
      </w:r>
      <w:r w:rsidR="0033217D">
        <w:t xml:space="preserve">eny skuteczności działań, a także </w:t>
      </w:r>
      <w:r w:rsidR="00F24EB3">
        <w:t>wprowadzani</w:t>
      </w:r>
      <w:r w:rsidR="0036767E">
        <w:t>e</w:t>
      </w:r>
      <w:r w:rsidR="00F24EB3">
        <w:t xml:space="preserve"> modyfikacji w reakcji na zmiany w otoczeniu programu</w:t>
      </w:r>
      <w:r w:rsidR="00810F6B">
        <w:t xml:space="preserve"> zostały tylko wskazane jako obowiązkowe</w:t>
      </w:r>
      <w:r w:rsidR="00F24EB3">
        <w:t>.</w:t>
      </w:r>
      <w:r w:rsidR="00810F6B">
        <w:t xml:space="preserve"> Natomiast </w:t>
      </w:r>
      <w:r w:rsidR="00D330EF">
        <w:t>pkt</w:t>
      </w:r>
      <w:r w:rsidR="00810F6B">
        <w:t xml:space="preserve"> 3.4 </w:t>
      </w:r>
      <w:proofErr w:type="spellStart"/>
      <w:r w:rsidR="00D330EF">
        <w:t>ppkt</w:t>
      </w:r>
      <w:proofErr w:type="spellEnd"/>
      <w:r w:rsidR="00810F6B">
        <w:t xml:space="preserve"> 13</w:t>
      </w:r>
      <w:r w:rsidR="00D330EF">
        <w:t>)</w:t>
      </w:r>
      <w:r w:rsidR="00810F6B">
        <w:t xml:space="preserve"> stwierdza, że „Zmiany wprowadzane w programach rewitalizacji odpowiadają na te potrzeby zmian, które wynikają głównie z ich ewaluacji, opartej na systematycznym monitoringu”.</w:t>
      </w:r>
      <w:r w:rsidR="00574D74">
        <w:t xml:space="preserve"> Takie zapisy Wytycznych sprawiają, że to twór</w:t>
      </w:r>
      <w:r w:rsidR="0033217D">
        <w:t xml:space="preserve">cy programów </w:t>
      </w:r>
      <w:r w:rsidR="00382840">
        <w:t xml:space="preserve">odpowiedzialni są za </w:t>
      </w:r>
      <w:r w:rsidR="00382840">
        <w:lastRenderedPageBreak/>
        <w:t>opracowanie zasad</w:t>
      </w:r>
      <w:r w:rsidR="0033217D">
        <w:t xml:space="preserve"> system</w:t>
      </w:r>
      <w:r w:rsidR="00382840">
        <w:t>u</w:t>
      </w:r>
      <w:r w:rsidR="0033217D">
        <w:t xml:space="preserve"> </w:t>
      </w:r>
      <w:r w:rsidR="004B63DE">
        <w:t xml:space="preserve">monitoringu </w:t>
      </w:r>
      <w:r w:rsidR="0033217D">
        <w:t>oraz</w:t>
      </w:r>
      <w:r w:rsidR="00574D74">
        <w:t xml:space="preserve"> określ</w:t>
      </w:r>
      <w:r w:rsidR="00AA1C4A">
        <w:t xml:space="preserve">enie </w:t>
      </w:r>
      <w:r w:rsidR="00574D74">
        <w:t>przesłan</w:t>
      </w:r>
      <w:r w:rsidR="00AA1C4A">
        <w:t>ek</w:t>
      </w:r>
      <w:r w:rsidR="00574D74">
        <w:t xml:space="preserve">, które będą warunkować aktualizację programu. </w:t>
      </w:r>
      <w:r w:rsidR="0033217D">
        <w:t>Obserwuje się</w:t>
      </w:r>
      <w:r w:rsidR="004B63DE">
        <w:t xml:space="preserve"> różne podejście gmin </w:t>
      </w:r>
      <w:r w:rsidR="00092EE7">
        <w:t xml:space="preserve">w tej kwestii. </w:t>
      </w:r>
      <w:r w:rsidR="00483243">
        <w:t xml:space="preserve">W województwie podkarpackim </w:t>
      </w:r>
      <w:r w:rsidR="00656D28">
        <w:t xml:space="preserve">najczęściej ocena ta odbywa się raz na trzy lata. </w:t>
      </w:r>
      <w:r w:rsidR="00AA1C4A">
        <w:t>Z danych GUS wynika, iż n</w:t>
      </w:r>
      <w:r w:rsidR="00644FD4">
        <w:t xml:space="preserve">a 81 LPR obowiązujących w </w:t>
      </w:r>
      <w:r w:rsidR="0033217D">
        <w:t xml:space="preserve">2018 r. </w:t>
      </w:r>
      <w:r w:rsidR="001066AF">
        <w:t xml:space="preserve">w tym regionie </w:t>
      </w:r>
      <w:r w:rsidR="0033217D">
        <w:t>w przypadku jednej trzeciej</w:t>
      </w:r>
      <w:r w:rsidR="005814FD">
        <w:t xml:space="preserve"> </w:t>
      </w:r>
      <w:r w:rsidR="001066AF">
        <w:t xml:space="preserve">programów </w:t>
      </w:r>
      <w:r w:rsidR="0033217D">
        <w:t>wcale nie przewidziano</w:t>
      </w:r>
      <w:r w:rsidR="005814FD">
        <w:t xml:space="preserve"> takiej oceny. W programach, w których taką ocenę zaplanowano, </w:t>
      </w:r>
      <w:r w:rsidR="004F5577">
        <w:t>odbywa</w:t>
      </w:r>
      <w:r w:rsidR="005814FD">
        <w:t xml:space="preserve"> </w:t>
      </w:r>
      <w:r w:rsidR="001066AF">
        <w:t xml:space="preserve">się ona </w:t>
      </w:r>
      <w:r w:rsidR="005814FD">
        <w:t>raz na rok (21 przypadków) lub raz n</w:t>
      </w:r>
      <w:r w:rsidR="0033217D">
        <w:t xml:space="preserve">a trzy lata (20), natomiast w 10 programach </w:t>
      </w:r>
      <w:r w:rsidR="005814FD">
        <w:t xml:space="preserve">raz na dwa lata. Szczegółowe dane na temat częstotliwości oceny </w:t>
      </w:r>
      <w:r w:rsidR="004F5577">
        <w:t xml:space="preserve">zarówno w odniesieniu do </w:t>
      </w:r>
      <w:r w:rsidR="002301C4">
        <w:t>L</w:t>
      </w:r>
      <w:r w:rsidR="004F5577">
        <w:t xml:space="preserve">PR, jak i GPR funkcjonujących </w:t>
      </w:r>
      <w:r w:rsidR="0033217D">
        <w:t>w województwie podkarpackim</w:t>
      </w:r>
      <w:r w:rsidR="002301C4">
        <w:t>,</w:t>
      </w:r>
      <w:r w:rsidR="0033217D">
        <w:t xml:space="preserve"> </w:t>
      </w:r>
      <w:r w:rsidR="005814FD">
        <w:t>przedstawia tabela poniżej.</w:t>
      </w:r>
    </w:p>
    <w:p w14:paraId="6D5E05C1" w14:textId="77777777" w:rsidR="004B63DE" w:rsidRPr="00075CBB" w:rsidRDefault="00C531C7" w:rsidP="00A95EB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C363A"/>
          <w:sz w:val="18"/>
          <w:szCs w:val="18"/>
          <w:lang w:eastAsia="pl-PL"/>
        </w:rPr>
      </w:pPr>
      <w:r w:rsidRPr="00075CBB">
        <w:rPr>
          <w:rFonts w:cstheme="minorHAnsi"/>
          <w:sz w:val="18"/>
          <w:szCs w:val="18"/>
        </w:rPr>
        <w:t>Tabela 1. Przyjęta częstotliwość oceny aktualności programów rewitalizacji obowiązujących w 2018 r. w województwie podkarpackim</w:t>
      </w:r>
    </w:p>
    <w:tbl>
      <w:tblPr>
        <w:tblStyle w:val="Siatkatabelijasna"/>
        <w:tblW w:w="5000" w:type="pct"/>
        <w:jc w:val="center"/>
        <w:tblLook w:val="04A0" w:firstRow="1" w:lastRow="0" w:firstColumn="1" w:lastColumn="0" w:noHBand="0" w:noVBand="1"/>
      </w:tblPr>
      <w:tblGrid>
        <w:gridCol w:w="2538"/>
        <w:gridCol w:w="1088"/>
        <w:gridCol w:w="1088"/>
        <w:gridCol w:w="1087"/>
        <w:gridCol w:w="1087"/>
        <w:gridCol w:w="1087"/>
        <w:gridCol w:w="1087"/>
      </w:tblGrid>
      <w:tr w:rsidR="004B63DE" w:rsidRPr="00075CBB" w14:paraId="055C5A6D" w14:textId="77777777" w:rsidTr="00D30AC3">
        <w:trPr>
          <w:trHeight w:val="374"/>
          <w:jc w:val="center"/>
        </w:trPr>
        <w:tc>
          <w:tcPr>
            <w:tcW w:w="1400" w:type="pct"/>
            <w:vMerge w:val="restart"/>
            <w:vAlign w:val="center"/>
            <w:hideMark/>
          </w:tcPr>
          <w:p w14:paraId="4B0FB67F" w14:textId="77777777" w:rsidR="004B63DE" w:rsidRPr="00AA1C4A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1C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Typ programu</w:t>
            </w:r>
          </w:p>
        </w:tc>
        <w:tc>
          <w:tcPr>
            <w:tcW w:w="3600" w:type="pct"/>
            <w:gridSpan w:val="6"/>
            <w:vAlign w:val="center"/>
            <w:hideMark/>
          </w:tcPr>
          <w:p w14:paraId="34D909DE" w14:textId="0D81A8CB" w:rsidR="004B63DE" w:rsidRPr="00AA1C4A" w:rsidRDefault="004B63DE" w:rsidP="00D30AC3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1C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Przyjęta częstotliwość oceny aktualności program</w:t>
            </w:r>
            <w:r w:rsidR="00A95E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ów </w:t>
            </w:r>
            <w:r w:rsidRPr="00AA1C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rewitalizacji</w:t>
            </w:r>
            <w:r w:rsidR="006942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4B63DE" w:rsidRPr="00075CBB" w14:paraId="6B823ACB" w14:textId="77777777" w:rsidTr="00AA1C4A">
        <w:trPr>
          <w:trHeight w:val="290"/>
          <w:jc w:val="center"/>
        </w:trPr>
        <w:tc>
          <w:tcPr>
            <w:tcW w:w="1400" w:type="pct"/>
            <w:vMerge/>
            <w:vAlign w:val="center"/>
            <w:hideMark/>
          </w:tcPr>
          <w:p w14:paraId="4305B3BB" w14:textId="77777777" w:rsidR="004B63DE" w:rsidRPr="00AA1C4A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pct"/>
            <w:vAlign w:val="center"/>
            <w:hideMark/>
          </w:tcPr>
          <w:p w14:paraId="4CCCE63F" w14:textId="77777777" w:rsidR="004B63DE" w:rsidRPr="00AA1C4A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1C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pct"/>
            <w:vAlign w:val="center"/>
            <w:hideMark/>
          </w:tcPr>
          <w:p w14:paraId="6BA9EC81" w14:textId="77777777" w:rsidR="004B63DE" w:rsidRPr="00AA1C4A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1C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pct"/>
            <w:vAlign w:val="center"/>
            <w:hideMark/>
          </w:tcPr>
          <w:p w14:paraId="70E30719" w14:textId="77777777" w:rsidR="004B63DE" w:rsidRPr="00AA1C4A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1C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pct"/>
            <w:vAlign w:val="center"/>
            <w:hideMark/>
          </w:tcPr>
          <w:p w14:paraId="50943C32" w14:textId="77777777" w:rsidR="004B63DE" w:rsidRPr="00AA1C4A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1C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pct"/>
            <w:vAlign w:val="center"/>
            <w:hideMark/>
          </w:tcPr>
          <w:p w14:paraId="61D63C94" w14:textId="77777777" w:rsidR="004B63DE" w:rsidRPr="00AA1C4A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1C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pct"/>
            <w:vAlign w:val="center"/>
            <w:hideMark/>
          </w:tcPr>
          <w:p w14:paraId="72DEE19D" w14:textId="77777777" w:rsidR="004B63DE" w:rsidRPr="00AA1C4A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AA1C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4B63DE" w:rsidRPr="00075CBB" w14:paraId="2191BC3F" w14:textId="77777777" w:rsidTr="00AA1C4A">
        <w:trPr>
          <w:trHeight w:val="290"/>
          <w:jc w:val="center"/>
        </w:trPr>
        <w:tc>
          <w:tcPr>
            <w:tcW w:w="1400" w:type="pct"/>
            <w:hideMark/>
          </w:tcPr>
          <w:p w14:paraId="7E167A33" w14:textId="775E2E74" w:rsidR="004B63DE" w:rsidRPr="00075CBB" w:rsidRDefault="007C0915" w:rsidP="00BC7694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</w:t>
            </w:r>
            <w:r w:rsidR="004B63DE" w:rsidRPr="00075C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 </w:t>
            </w:r>
            <w:r w:rsidR="00B4254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– w szt.</w:t>
            </w:r>
          </w:p>
        </w:tc>
        <w:tc>
          <w:tcPr>
            <w:tcW w:w="600" w:type="pct"/>
            <w:vAlign w:val="center"/>
            <w:hideMark/>
          </w:tcPr>
          <w:p w14:paraId="3F5AEB7E" w14:textId="77777777" w:rsidR="004B63DE" w:rsidRPr="00075CBB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00" w:type="pct"/>
            <w:vAlign w:val="center"/>
            <w:hideMark/>
          </w:tcPr>
          <w:p w14:paraId="1E090915" w14:textId="77777777" w:rsidR="004B63DE" w:rsidRPr="00075CBB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00" w:type="pct"/>
            <w:vAlign w:val="center"/>
            <w:hideMark/>
          </w:tcPr>
          <w:p w14:paraId="5BAE28F8" w14:textId="77777777" w:rsidR="004B63DE" w:rsidRPr="00075CBB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0" w:type="pct"/>
            <w:vAlign w:val="center"/>
            <w:hideMark/>
          </w:tcPr>
          <w:p w14:paraId="436690BA" w14:textId="77777777" w:rsidR="004B63DE" w:rsidRPr="00075CBB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00" w:type="pct"/>
            <w:vAlign w:val="center"/>
            <w:hideMark/>
          </w:tcPr>
          <w:p w14:paraId="50CB1938" w14:textId="77777777" w:rsidR="004B63DE" w:rsidRPr="00075CBB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pct"/>
            <w:vAlign w:val="center"/>
            <w:hideMark/>
          </w:tcPr>
          <w:p w14:paraId="1A935788" w14:textId="77777777" w:rsidR="004B63DE" w:rsidRPr="00075CBB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4B63DE" w:rsidRPr="00075CBB" w14:paraId="493CDB95" w14:textId="77777777" w:rsidTr="00AA1C4A">
        <w:trPr>
          <w:trHeight w:val="290"/>
          <w:jc w:val="center"/>
        </w:trPr>
        <w:tc>
          <w:tcPr>
            <w:tcW w:w="1400" w:type="pct"/>
            <w:hideMark/>
          </w:tcPr>
          <w:p w14:paraId="6EEF8D6F" w14:textId="1F84383C" w:rsidR="004B63DE" w:rsidRPr="00075CBB" w:rsidRDefault="004B63DE" w:rsidP="00BC7694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GPR</w:t>
            </w:r>
            <w:r w:rsidR="00B4254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– w szt.</w:t>
            </w:r>
          </w:p>
        </w:tc>
        <w:tc>
          <w:tcPr>
            <w:tcW w:w="600" w:type="pct"/>
            <w:vAlign w:val="center"/>
            <w:hideMark/>
          </w:tcPr>
          <w:p w14:paraId="7711BF47" w14:textId="77777777" w:rsidR="004B63DE" w:rsidRPr="00075CBB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pct"/>
            <w:vAlign w:val="center"/>
            <w:hideMark/>
          </w:tcPr>
          <w:p w14:paraId="7EE3EC9E" w14:textId="77777777" w:rsidR="004B63DE" w:rsidRPr="00075CBB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pct"/>
            <w:vAlign w:val="center"/>
            <w:hideMark/>
          </w:tcPr>
          <w:p w14:paraId="08F963E9" w14:textId="77777777" w:rsidR="004B63DE" w:rsidRPr="00075CBB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pct"/>
            <w:vAlign w:val="center"/>
            <w:hideMark/>
          </w:tcPr>
          <w:p w14:paraId="627A9485" w14:textId="77777777" w:rsidR="004B63DE" w:rsidRPr="00075CBB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0" w:type="pct"/>
            <w:vAlign w:val="center"/>
            <w:hideMark/>
          </w:tcPr>
          <w:p w14:paraId="13A098F9" w14:textId="77777777" w:rsidR="004B63DE" w:rsidRPr="00075CBB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pct"/>
            <w:vAlign w:val="center"/>
            <w:hideMark/>
          </w:tcPr>
          <w:p w14:paraId="13193617" w14:textId="77777777" w:rsidR="004B63DE" w:rsidRPr="00075CBB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B63DE" w:rsidRPr="00075CBB" w14:paraId="3BD99D2F" w14:textId="77777777" w:rsidTr="00AA1C4A">
        <w:trPr>
          <w:trHeight w:val="290"/>
          <w:jc w:val="center"/>
        </w:trPr>
        <w:tc>
          <w:tcPr>
            <w:tcW w:w="1400" w:type="pct"/>
            <w:hideMark/>
          </w:tcPr>
          <w:p w14:paraId="3EC0CB0E" w14:textId="17555B99" w:rsidR="004B63DE" w:rsidRPr="00075CBB" w:rsidRDefault="00C531C7" w:rsidP="00BC7694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Ł</w:t>
            </w:r>
            <w:r w:rsidR="004B63DE" w:rsidRPr="00075C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ącznie</w:t>
            </w:r>
            <w:r w:rsidR="00D30AC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– w szt.</w:t>
            </w:r>
          </w:p>
        </w:tc>
        <w:tc>
          <w:tcPr>
            <w:tcW w:w="600" w:type="pct"/>
            <w:vAlign w:val="center"/>
            <w:hideMark/>
          </w:tcPr>
          <w:p w14:paraId="053AAF75" w14:textId="77777777" w:rsidR="004B63DE" w:rsidRPr="00075CBB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00" w:type="pct"/>
            <w:vAlign w:val="center"/>
            <w:hideMark/>
          </w:tcPr>
          <w:p w14:paraId="3769C70A" w14:textId="77777777" w:rsidR="004B63DE" w:rsidRPr="00075CBB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00" w:type="pct"/>
            <w:vAlign w:val="center"/>
            <w:hideMark/>
          </w:tcPr>
          <w:p w14:paraId="70059290" w14:textId="77777777" w:rsidR="004B63DE" w:rsidRPr="00075CBB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0" w:type="pct"/>
            <w:vAlign w:val="center"/>
            <w:hideMark/>
          </w:tcPr>
          <w:p w14:paraId="20D4868A" w14:textId="77777777" w:rsidR="004B63DE" w:rsidRPr="00075CBB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00" w:type="pct"/>
            <w:vAlign w:val="center"/>
            <w:hideMark/>
          </w:tcPr>
          <w:p w14:paraId="143A2916" w14:textId="77777777" w:rsidR="004B63DE" w:rsidRPr="00075CBB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pct"/>
            <w:vAlign w:val="center"/>
            <w:hideMark/>
          </w:tcPr>
          <w:p w14:paraId="1646F960" w14:textId="77777777" w:rsidR="004B63DE" w:rsidRPr="00075CBB" w:rsidRDefault="004B63DE" w:rsidP="00AA1C4A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5C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14:paraId="675DD6A4" w14:textId="77777777" w:rsidR="006942FE" w:rsidRDefault="00C531C7" w:rsidP="00BC7694">
      <w:pPr>
        <w:spacing w:line="276" w:lineRule="auto"/>
        <w:jc w:val="both"/>
        <w:rPr>
          <w:rFonts w:cstheme="minorHAnsi"/>
          <w:sz w:val="18"/>
          <w:szCs w:val="18"/>
        </w:rPr>
      </w:pPr>
      <w:r w:rsidRPr="00075CBB">
        <w:rPr>
          <w:rFonts w:cstheme="minorHAnsi"/>
          <w:sz w:val="18"/>
          <w:szCs w:val="18"/>
        </w:rPr>
        <w:t>Źródło</w:t>
      </w:r>
      <w:r w:rsidR="00AA1C4A">
        <w:rPr>
          <w:rFonts w:cstheme="minorHAnsi"/>
          <w:sz w:val="18"/>
          <w:szCs w:val="18"/>
        </w:rPr>
        <w:t xml:space="preserve">: </w:t>
      </w:r>
      <w:r w:rsidRPr="00075CBB">
        <w:rPr>
          <w:rFonts w:cstheme="minorHAnsi"/>
          <w:sz w:val="18"/>
          <w:szCs w:val="18"/>
        </w:rPr>
        <w:t>oprac. własne na podstawie „Dane statystyczne z zakresu rewitalizacji na poziomie gmin”, GUS, 2018 r.</w:t>
      </w:r>
      <w:r w:rsidR="00530B15">
        <w:rPr>
          <w:rFonts w:cstheme="minorHAnsi"/>
          <w:sz w:val="18"/>
          <w:szCs w:val="18"/>
        </w:rPr>
        <w:t xml:space="preserve">; </w:t>
      </w:r>
    </w:p>
    <w:p w14:paraId="266FEE97" w14:textId="16002DE5" w:rsidR="00075CBB" w:rsidRPr="00EB5419" w:rsidRDefault="006942FE" w:rsidP="00BC7694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</w:t>
      </w:r>
      <w:r w:rsidR="00F71020">
        <w:rPr>
          <w:rFonts w:cstheme="minorHAnsi"/>
          <w:sz w:val="18"/>
          <w:szCs w:val="18"/>
        </w:rPr>
        <w:t>częstotliwość oceny aktualności programu rewitalizacji: 0 – aktualizacji nie zaplanowano; 1, 2, 3, 4, 5 – przewiduje się aktualizację odpowiednio co rok, dwa, trzy, cztery i pięć lat</w:t>
      </w:r>
    </w:p>
    <w:p w14:paraId="2F20DA84" w14:textId="28CB2850" w:rsidR="00DA2DAA" w:rsidRPr="00D06E22" w:rsidRDefault="00D06E22" w:rsidP="00BC7694">
      <w:pPr>
        <w:spacing w:line="276" w:lineRule="auto"/>
        <w:rPr>
          <w:b/>
        </w:rPr>
      </w:pPr>
      <w:r w:rsidRPr="00D06E22">
        <w:rPr>
          <w:b/>
        </w:rPr>
        <w:t>Dobra praktyka</w:t>
      </w:r>
    </w:p>
    <w:p w14:paraId="1A6BD49E" w14:textId="77777777" w:rsidR="00E42A0A" w:rsidRDefault="00585188" w:rsidP="00BC7694">
      <w:pPr>
        <w:spacing w:line="276" w:lineRule="auto"/>
        <w:jc w:val="both"/>
        <w:rPr>
          <w:rStyle w:val="Pogrubienie"/>
          <w:b w:val="0"/>
          <w:color w:val="000000"/>
        </w:rPr>
      </w:pPr>
      <w:r>
        <w:t>W przypadku</w:t>
      </w:r>
      <w:r w:rsidR="00983467">
        <w:t xml:space="preserve"> ewentualnej aktualizacji</w:t>
      </w:r>
      <w:r w:rsidR="004F5DD7">
        <w:t xml:space="preserve"> </w:t>
      </w:r>
      <w:r w:rsidR="009D6D62">
        <w:t>LPR</w:t>
      </w:r>
      <w:r>
        <w:t xml:space="preserve"> </w:t>
      </w:r>
      <w:r w:rsidR="009D6D62">
        <w:t>gminy</w:t>
      </w:r>
      <w:r w:rsidR="00983467">
        <w:t xml:space="preserve"> mają </w:t>
      </w:r>
      <w:r w:rsidR="004F5DD7">
        <w:t xml:space="preserve">więc </w:t>
      </w:r>
      <w:r w:rsidR="00983467">
        <w:t xml:space="preserve">właściwie </w:t>
      </w:r>
      <w:r w:rsidR="009D6D62">
        <w:t xml:space="preserve">wolną rękę, czy i kiedy takiej zmiany dokonać. </w:t>
      </w:r>
      <w:r w:rsidR="004F5DD7">
        <w:t>Ważne jest jednak</w:t>
      </w:r>
      <w:r w:rsidR="009D6D62">
        <w:t>, aby przy opracowaniu programu zaplanowały i ujęły w tym dokumencie</w:t>
      </w:r>
      <w:r w:rsidR="008273FC">
        <w:t xml:space="preserve"> zarówno informacje co do częstotliwości oceny programu, jak i</w:t>
      </w:r>
      <w:r w:rsidR="009D6D62">
        <w:t xml:space="preserve"> przesłan</w:t>
      </w:r>
      <w:r w:rsidR="008273FC">
        <w:t>ek warunkujących</w:t>
      </w:r>
      <w:r w:rsidR="009D6D62">
        <w:t xml:space="preserve"> </w:t>
      </w:r>
      <w:r w:rsidR="004F5DD7">
        <w:t xml:space="preserve">jego </w:t>
      </w:r>
      <w:r w:rsidR="009D6D62">
        <w:t xml:space="preserve">aktualizację. Dobrym przykładem </w:t>
      </w:r>
      <w:r w:rsidR="008273FC">
        <w:t>w tym względzie</w:t>
      </w:r>
      <w:r w:rsidR="009D6D62">
        <w:t xml:space="preserve"> jest </w:t>
      </w:r>
      <w:r w:rsidR="00EC2BCD">
        <w:rPr>
          <w:rStyle w:val="Pogrubienie"/>
          <w:b w:val="0"/>
          <w:i/>
          <w:color w:val="000000"/>
        </w:rPr>
        <w:t>Lokalny Program</w:t>
      </w:r>
      <w:r w:rsidR="009D6D62" w:rsidRPr="004B0DFB">
        <w:rPr>
          <w:rStyle w:val="Pogrubienie"/>
          <w:b w:val="0"/>
          <w:i/>
          <w:color w:val="000000"/>
        </w:rPr>
        <w:t xml:space="preserve"> Rewitalizacji </w:t>
      </w:r>
      <w:r w:rsidR="00D143AF">
        <w:rPr>
          <w:rStyle w:val="Pogrubienie"/>
          <w:b w:val="0"/>
          <w:i/>
          <w:color w:val="000000"/>
        </w:rPr>
        <w:t>Miasta Łańcuta na lata 2015-2023</w:t>
      </w:r>
      <w:r w:rsidR="00EC2BCD">
        <w:rPr>
          <w:rStyle w:val="Pogrubienie"/>
          <w:b w:val="0"/>
          <w:color w:val="000000"/>
        </w:rPr>
        <w:t xml:space="preserve">. </w:t>
      </w:r>
    </w:p>
    <w:p w14:paraId="35C882FF" w14:textId="77777777" w:rsidR="00E42A0A" w:rsidRDefault="00E42A0A" w:rsidP="00BC7694">
      <w:pPr>
        <w:spacing w:line="276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t xml:space="preserve">W cyklu życia LPR Łańcuta był on jak do tej pory dwukrotnie aktualizowany. Pierwszy raz na przełomie 2016 i 2017 r., drugi raz w 2020 r. Powodem wszczęcia procedury w tym ostatnim przypadku były zmiany uwarunkowań procesu rewitalizacji w mieście i </w:t>
      </w:r>
      <w:r w:rsidR="009A437E">
        <w:t xml:space="preserve">jego </w:t>
      </w:r>
      <w:r>
        <w:t xml:space="preserve">otoczeniu instytucjonalnym, </w:t>
      </w:r>
      <w:r w:rsidR="009A437E">
        <w:t xml:space="preserve">a także konieczność </w:t>
      </w:r>
      <w:r>
        <w:rPr>
          <w:rFonts w:cstheme="minorHAnsi"/>
          <w:color w:val="000000" w:themeColor="text1"/>
          <w:shd w:val="clear" w:color="auto" w:fill="FFFFFF"/>
        </w:rPr>
        <w:t>wydłużenia</w:t>
      </w:r>
      <w:r w:rsidRPr="003E10C5">
        <w:rPr>
          <w:rFonts w:cstheme="minorHAnsi"/>
          <w:color w:val="000000" w:themeColor="text1"/>
          <w:shd w:val="clear" w:color="auto" w:fill="FFFFFF"/>
        </w:rPr>
        <w:t xml:space="preserve"> </w:t>
      </w:r>
      <w:r w:rsidR="009A437E">
        <w:rPr>
          <w:rFonts w:cstheme="minorHAnsi"/>
          <w:color w:val="000000" w:themeColor="text1"/>
          <w:shd w:val="clear" w:color="auto" w:fill="FFFFFF"/>
        </w:rPr>
        <w:t xml:space="preserve">perspektywy </w:t>
      </w:r>
      <w:r w:rsidRPr="003E10C5">
        <w:rPr>
          <w:rFonts w:cstheme="minorHAnsi"/>
          <w:color w:val="000000" w:themeColor="text1"/>
          <w:shd w:val="clear" w:color="auto" w:fill="FFFFFF"/>
        </w:rPr>
        <w:t>obowiązywania programu</w:t>
      </w:r>
      <w:r>
        <w:rPr>
          <w:rFonts w:cstheme="minorHAnsi"/>
          <w:color w:val="000000" w:themeColor="text1"/>
          <w:shd w:val="clear" w:color="auto" w:fill="FFFFFF"/>
        </w:rPr>
        <w:t xml:space="preserve">, który pierwotnie miał się kończyć w 2020 r. – z powodu niezrealizowania wszystkich zaplanowanych </w:t>
      </w:r>
      <w:r w:rsidR="009A437E">
        <w:rPr>
          <w:rFonts w:cstheme="minorHAnsi"/>
          <w:color w:val="000000" w:themeColor="text1"/>
          <w:shd w:val="clear" w:color="auto" w:fill="FFFFFF"/>
        </w:rPr>
        <w:t>zamierzeń</w:t>
      </w:r>
      <w:r>
        <w:rPr>
          <w:rFonts w:cstheme="minorHAnsi"/>
          <w:color w:val="000000" w:themeColor="text1"/>
          <w:shd w:val="clear" w:color="auto" w:fill="FFFFFF"/>
        </w:rPr>
        <w:t xml:space="preserve">. </w:t>
      </w:r>
      <w:r w:rsidR="009A437E">
        <w:rPr>
          <w:rFonts w:cstheme="minorHAnsi"/>
          <w:color w:val="000000" w:themeColor="text1"/>
          <w:shd w:val="clear" w:color="auto" w:fill="FFFFFF"/>
        </w:rPr>
        <w:t>Aktualizacja dokumentu, który obowiązywał od 2015 r.</w:t>
      </w:r>
      <w:r w:rsidR="00422C6A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9A437E">
        <w:rPr>
          <w:rFonts w:cstheme="minorHAnsi"/>
          <w:color w:val="000000" w:themeColor="text1"/>
          <w:shd w:val="clear" w:color="auto" w:fill="FFFFFF"/>
        </w:rPr>
        <w:t xml:space="preserve">objęła </w:t>
      </w:r>
      <w:r w:rsidR="00422C6A">
        <w:rPr>
          <w:rFonts w:cstheme="minorHAnsi"/>
          <w:color w:val="000000" w:themeColor="text1"/>
          <w:shd w:val="clear" w:color="auto" w:fill="FFFFFF"/>
        </w:rPr>
        <w:t xml:space="preserve">przede wszystkim </w:t>
      </w:r>
      <w:r w:rsidR="00BF4B85">
        <w:rPr>
          <w:rFonts w:cstheme="minorHAnsi"/>
          <w:color w:val="000000" w:themeColor="text1"/>
          <w:shd w:val="clear" w:color="auto" w:fill="FFFFFF"/>
        </w:rPr>
        <w:t>zmiany na liście</w:t>
      </w:r>
      <w:r>
        <w:rPr>
          <w:rFonts w:cstheme="minorHAnsi"/>
          <w:color w:val="000000" w:themeColor="text1"/>
          <w:shd w:val="clear" w:color="auto" w:fill="FFFFFF"/>
        </w:rPr>
        <w:t xml:space="preserve"> projektów</w:t>
      </w:r>
      <w:r w:rsidR="00422C6A">
        <w:rPr>
          <w:rFonts w:cstheme="minorHAnsi"/>
          <w:color w:val="000000" w:themeColor="text1"/>
          <w:shd w:val="clear" w:color="auto" w:fill="FFFFFF"/>
        </w:rPr>
        <w:t>, których zapisy zostały dostosowane do stanu faktycznego. Z</w:t>
      </w:r>
      <w:r>
        <w:rPr>
          <w:rFonts w:cstheme="minorHAnsi"/>
          <w:color w:val="000000" w:themeColor="text1"/>
          <w:shd w:val="clear" w:color="auto" w:fill="FFFFFF"/>
        </w:rPr>
        <w:t>mian</w:t>
      </w:r>
      <w:r w:rsidR="00BF4B85">
        <w:rPr>
          <w:rFonts w:cstheme="minorHAnsi"/>
          <w:color w:val="000000" w:themeColor="text1"/>
          <w:shd w:val="clear" w:color="auto" w:fill="FFFFFF"/>
        </w:rPr>
        <w:t xml:space="preserve">y w zapisach przedsięwzięć </w:t>
      </w:r>
      <w:r w:rsidR="00E7445D">
        <w:rPr>
          <w:rFonts w:cstheme="minorHAnsi"/>
          <w:color w:val="000000" w:themeColor="text1"/>
          <w:shd w:val="clear" w:color="auto" w:fill="FFFFFF"/>
        </w:rPr>
        <w:t>wygenerował</w:t>
      </w:r>
      <w:r w:rsidR="00BF4B85">
        <w:rPr>
          <w:rFonts w:cstheme="minorHAnsi"/>
          <w:color w:val="000000" w:themeColor="text1"/>
          <w:shd w:val="clear" w:color="auto" w:fill="FFFFFF"/>
        </w:rPr>
        <w:t>y</w:t>
      </w:r>
      <w:r w:rsidR="00422C6A">
        <w:rPr>
          <w:rFonts w:cstheme="minorHAnsi"/>
          <w:color w:val="000000" w:themeColor="text1"/>
          <w:shd w:val="clear" w:color="auto" w:fill="FFFFFF"/>
        </w:rPr>
        <w:t xml:space="preserve"> dodatkowo potrzebę </w:t>
      </w:r>
      <w:r w:rsidR="00E7445D">
        <w:rPr>
          <w:rFonts w:cstheme="minorHAnsi"/>
          <w:color w:val="000000" w:themeColor="text1"/>
          <w:shd w:val="clear" w:color="auto" w:fill="FFFFFF"/>
        </w:rPr>
        <w:t xml:space="preserve">aktualizacji </w:t>
      </w:r>
      <w:r>
        <w:rPr>
          <w:rFonts w:cstheme="minorHAnsi"/>
          <w:color w:val="000000" w:themeColor="text1"/>
          <w:shd w:val="clear" w:color="auto" w:fill="FFFFFF"/>
        </w:rPr>
        <w:t>celów i kierunków</w:t>
      </w:r>
      <w:r w:rsidR="00E7445D">
        <w:rPr>
          <w:rFonts w:cstheme="minorHAnsi"/>
          <w:color w:val="000000" w:themeColor="text1"/>
          <w:shd w:val="clear" w:color="auto" w:fill="FFFFFF"/>
        </w:rPr>
        <w:t xml:space="preserve"> działań</w:t>
      </w:r>
      <w:r>
        <w:rPr>
          <w:rFonts w:cstheme="minorHAnsi"/>
          <w:color w:val="000000" w:themeColor="text1"/>
          <w:shd w:val="clear" w:color="auto" w:fill="FFFFFF"/>
        </w:rPr>
        <w:t xml:space="preserve">, a także procedur </w:t>
      </w:r>
      <w:r w:rsidR="00E7445D">
        <w:rPr>
          <w:rFonts w:cstheme="minorHAnsi"/>
          <w:color w:val="000000" w:themeColor="text1"/>
          <w:shd w:val="clear" w:color="auto" w:fill="FFFFFF"/>
        </w:rPr>
        <w:t xml:space="preserve">monitorowania i </w:t>
      </w:r>
      <w:r>
        <w:rPr>
          <w:rFonts w:cstheme="minorHAnsi"/>
          <w:color w:val="000000" w:themeColor="text1"/>
          <w:shd w:val="clear" w:color="auto" w:fill="FFFFFF"/>
        </w:rPr>
        <w:t xml:space="preserve">zarządzania </w:t>
      </w:r>
      <w:r w:rsidR="00E7445D">
        <w:rPr>
          <w:rFonts w:cstheme="minorHAnsi"/>
          <w:color w:val="000000" w:themeColor="text1"/>
          <w:shd w:val="clear" w:color="auto" w:fill="FFFFFF"/>
        </w:rPr>
        <w:t>programem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14:paraId="6856430E" w14:textId="28B0CA43" w:rsidR="00EC2BCD" w:rsidRDefault="00791DED" w:rsidP="00BC7694">
      <w:pPr>
        <w:spacing w:line="276" w:lineRule="auto"/>
        <w:jc w:val="both"/>
      </w:pPr>
      <w:r>
        <w:rPr>
          <w:rStyle w:val="Pogrubienie"/>
          <w:b w:val="0"/>
          <w:color w:val="000000"/>
        </w:rPr>
        <w:t xml:space="preserve">W </w:t>
      </w:r>
      <w:r w:rsidR="00BC3C37">
        <w:rPr>
          <w:rStyle w:val="Pogrubienie"/>
          <w:b w:val="0"/>
          <w:color w:val="000000"/>
        </w:rPr>
        <w:t xml:space="preserve">najnowszej wersji programu </w:t>
      </w:r>
      <w:r>
        <w:rPr>
          <w:rStyle w:val="Pogrubienie"/>
          <w:b w:val="0"/>
          <w:color w:val="000000"/>
        </w:rPr>
        <w:t xml:space="preserve">znalazły się zapisy przewidujące </w:t>
      </w:r>
      <w:r w:rsidR="00BC3C37">
        <w:rPr>
          <w:rStyle w:val="Pogrubienie"/>
          <w:b w:val="0"/>
          <w:color w:val="000000"/>
        </w:rPr>
        <w:t xml:space="preserve">kolejne jego </w:t>
      </w:r>
      <w:r w:rsidR="00EC2BCD">
        <w:t>aktualizacj</w:t>
      </w:r>
      <w:r w:rsidR="003B7A4C">
        <w:t>e</w:t>
      </w:r>
      <w:r w:rsidR="00BC3C37">
        <w:t>, wywołane:</w:t>
      </w:r>
      <w:r w:rsidR="00EC2BCD">
        <w:t xml:space="preserve"> </w:t>
      </w:r>
    </w:p>
    <w:p w14:paraId="505768CB" w14:textId="77777777" w:rsidR="00EC2BCD" w:rsidRDefault="00EC2BCD" w:rsidP="00BC7694">
      <w:pPr>
        <w:pStyle w:val="Akapitzlist"/>
        <w:numPr>
          <w:ilvl w:val="0"/>
          <w:numId w:val="9"/>
        </w:numPr>
        <w:spacing w:line="276" w:lineRule="auto"/>
        <w:jc w:val="both"/>
      </w:pPr>
      <w:r>
        <w:t>nieosiągnięci</w:t>
      </w:r>
      <w:r w:rsidR="00BC3C37">
        <w:t>em</w:t>
      </w:r>
      <w:r>
        <w:t xml:space="preserve"> zakładanych wskaźników realizacji pr</w:t>
      </w:r>
      <w:r w:rsidR="00791DED">
        <w:t xml:space="preserve">ogramu podczas monitorowania, </w:t>
      </w:r>
      <w:r w:rsidR="00BC3C37">
        <w:br/>
      </w:r>
      <w:r>
        <w:t xml:space="preserve">odnoszących się do postępu w realizacji przedsięwzięć rewitalizacyjnych, mierzonych corocznie, </w:t>
      </w:r>
      <w:r w:rsidR="00655D21">
        <w:t xml:space="preserve">oraz </w:t>
      </w:r>
      <w:r>
        <w:t>odnoszących się do dynamiki zmian zjawisk kryzysowych zdiagnozowanych na obszarze rewitalizacji, mierzonych co 2 lata;</w:t>
      </w:r>
    </w:p>
    <w:p w14:paraId="445C257D" w14:textId="77777777" w:rsidR="00EC2BCD" w:rsidRDefault="00EC2BCD" w:rsidP="00BC7694">
      <w:pPr>
        <w:pStyle w:val="Akapitzlist"/>
        <w:numPr>
          <w:ilvl w:val="0"/>
          <w:numId w:val="9"/>
        </w:numPr>
        <w:spacing w:line="276" w:lineRule="auto"/>
        <w:jc w:val="both"/>
      </w:pPr>
      <w:r>
        <w:t>rekomendacj</w:t>
      </w:r>
      <w:r w:rsidR="00655D21">
        <w:t>ą</w:t>
      </w:r>
      <w:r>
        <w:t xml:space="preserve"> Zespołu ds. wdrażania LPR</w:t>
      </w:r>
      <w:r w:rsidR="00655D21">
        <w:t xml:space="preserve">, będących odpowiedzią </w:t>
      </w:r>
      <w:r>
        <w:t>na negatywną ocenę efektywności działań rewitalizacyjnych.</w:t>
      </w:r>
    </w:p>
    <w:p w14:paraId="1E16FBE9" w14:textId="5887F914" w:rsidR="00687AB8" w:rsidRDefault="004F5DD7" w:rsidP="00BC7694">
      <w:pPr>
        <w:spacing w:line="276" w:lineRule="auto"/>
        <w:jc w:val="both"/>
      </w:pPr>
      <w:r>
        <w:t>Ponadto</w:t>
      </w:r>
      <w:r w:rsidR="00687AB8">
        <w:t xml:space="preserve"> przyjęto, że LPR </w:t>
      </w:r>
      <w:r w:rsidR="00612F0A">
        <w:t xml:space="preserve">Miasta </w:t>
      </w:r>
      <w:r w:rsidR="00687AB8">
        <w:t>Łańcuta będzie aktualizowany w przypadku zdiagnozowania nowych problemów na obszarze rewitalizacji</w:t>
      </w:r>
      <w:r w:rsidR="00655D21">
        <w:t>,</w:t>
      </w:r>
      <w:r w:rsidR="00687AB8">
        <w:t xml:space="preserve"> czy potrzeby podjęcia dodatkowych działań rewitalizacyjnych.</w:t>
      </w:r>
    </w:p>
    <w:p w14:paraId="72CAE8C4" w14:textId="77777777" w:rsidR="00EB5419" w:rsidRDefault="00687AB8" w:rsidP="00BC7694">
      <w:pPr>
        <w:spacing w:line="276" w:lineRule="auto"/>
        <w:jc w:val="both"/>
      </w:pPr>
      <w:r>
        <w:lastRenderedPageBreak/>
        <w:t>W dokumencie</w:t>
      </w:r>
      <w:r w:rsidR="00791DED">
        <w:t xml:space="preserve"> sprecyzowano </w:t>
      </w:r>
      <w:r>
        <w:t xml:space="preserve">też </w:t>
      </w:r>
      <w:r w:rsidR="00791DED">
        <w:t xml:space="preserve">warunki, </w:t>
      </w:r>
      <w:r>
        <w:t>które</w:t>
      </w:r>
      <w:r w:rsidR="00791DED">
        <w:t xml:space="preserve"> muszą nastąpić, by rozważyć modyfikację przyjętych celów i </w:t>
      </w:r>
      <w:r w:rsidR="00C44FA1">
        <w:t xml:space="preserve">przypisanych mu wskaźników, </w:t>
      </w:r>
      <w:r w:rsidR="00C822A2">
        <w:t xml:space="preserve">a także określono cechy, którymi powinny charakteryzować się </w:t>
      </w:r>
      <w:r w:rsidR="00851B19">
        <w:t xml:space="preserve">nowe </w:t>
      </w:r>
      <w:r w:rsidR="00C822A2">
        <w:t>przedsięwzięcia, aby mogły zostać dopisane do LPR. Projekty te muszą wykazywać zgodność z politykami oraz programami lokalnymi, regiona</w:t>
      </w:r>
      <w:r w:rsidR="004F5DD7">
        <w:t>lnymi, krajowymi i europejskimi oraz</w:t>
      </w:r>
      <w:r w:rsidR="00C822A2">
        <w:t xml:space="preserve"> </w:t>
      </w:r>
      <w:r w:rsidR="003F6645">
        <w:t>posiadać potencjał do</w:t>
      </w:r>
      <w:r w:rsidR="009057FE">
        <w:t xml:space="preserve"> poprawy </w:t>
      </w:r>
      <w:r w:rsidR="00C822A2">
        <w:t>spójności przestrzennej i społeczno-gospo</w:t>
      </w:r>
      <w:r w:rsidR="009057FE">
        <w:t>darczej obszaru rewitalizacji</w:t>
      </w:r>
      <w:r w:rsidR="00B74D04">
        <w:t xml:space="preserve">, a także </w:t>
      </w:r>
      <w:r w:rsidR="00C822A2">
        <w:t>zaspokojenia pilnych</w:t>
      </w:r>
      <w:r w:rsidR="004F5DD7">
        <w:t xml:space="preserve"> potrzeb lokalnej społeczności</w:t>
      </w:r>
      <w:r w:rsidR="009057FE">
        <w:t xml:space="preserve">. </w:t>
      </w:r>
      <w:r w:rsidR="00084697">
        <w:t>W związku z bliskim zakończeniem perspektywy obowiązywania programu, p</w:t>
      </w:r>
      <w:r w:rsidR="009057FE">
        <w:t xml:space="preserve">rzedsięwzięcia te powinien charakteryzować również </w:t>
      </w:r>
      <w:r w:rsidR="00C822A2">
        <w:t>wysoki poziom wykonalności i przygotowania do wdrożenia (co najmniej zabezpieczone środki na realizację działań)</w:t>
      </w:r>
      <w:r w:rsidR="004F5DD7">
        <w:t>.</w:t>
      </w:r>
    </w:p>
    <w:p w14:paraId="6D50A036" w14:textId="77777777" w:rsidR="00EB5419" w:rsidRDefault="00EB5419" w:rsidP="00BC7694">
      <w:pPr>
        <w:spacing w:line="276" w:lineRule="auto"/>
        <w:jc w:val="both"/>
      </w:pPr>
      <w:r>
        <w:t>J</w:t>
      </w:r>
      <w:r w:rsidR="001A09E6">
        <w:t>ednocześnie wymieniono rodzaje zmian, których zaistnienie</w:t>
      </w:r>
      <w:r w:rsidR="00432F67">
        <w:t xml:space="preserve"> </w:t>
      </w:r>
      <w:r w:rsidR="001A09E6">
        <w:t>nie spowoduje potrzeby aktualizacji</w:t>
      </w:r>
      <w:r w:rsidR="00A90B76">
        <w:t xml:space="preserve"> LPR</w:t>
      </w:r>
      <w:r w:rsidR="001A09E6">
        <w:t>. Do takich zaliczono</w:t>
      </w:r>
      <w:r>
        <w:t xml:space="preserve"> </w:t>
      </w:r>
      <w:r w:rsidR="001A09E6">
        <w:t>zmiany otoczenia prawnego dokumentu, w ty</w:t>
      </w:r>
      <w:r w:rsidR="00F45A95">
        <w:t>m dokumentów strategicznych i</w:t>
      </w:r>
      <w:r w:rsidR="00B557F3">
        <w:t xml:space="preserve"> </w:t>
      </w:r>
      <w:r w:rsidR="00F45A95">
        <w:t>planistycznych</w:t>
      </w:r>
      <w:r>
        <w:t xml:space="preserve"> </w:t>
      </w:r>
      <w:r w:rsidR="00B557F3">
        <w:t>gminy, oraz zmiany</w:t>
      </w:r>
      <w:r>
        <w:t xml:space="preserve"> montażu finansowego projektów rewitalizacyjnych</w:t>
      </w:r>
      <w:r w:rsidR="004F5DD7">
        <w:t xml:space="preserve">. Aktualizacji nie przewidziano również </w:t>
      </w:r>
      <w:r w:rsidR="00B557F3">
        <w:t>w</w:t>
      </w:r>
      <w:r>
        <w:t xml:space="preserve"> przypadku niepozyskan</w:t>
      </w:r>
      <w:r w:rsidR="00B557F3">
        <w:t>ia dofinansowania zewnętrznego dla projekt</w:t>
      </w:r>
      <w:r w:rsidR="00342649">
        <w:t>ów</w:t>
      </w:r>
      <w:r w:rsidR="00B557F3">
        <w:t xml:space="preserve"> ujęt</w:t>
      </w:r>
      <w:r w:rsidR="00342649">
        <w:t xml:space="preserve">ych </w:t>
      </w:r>
      <w:r w:rsidR="00B557F3">
        <w:t>w programie</w:t>
      </w:r>
      <w:r>
        <w:t xml:space="preserve">, o ile </w:t>
      </w:r>
      <w:r w:rsidR="00342649">
        <w:t xml:space="preserve">ten fakt </w:t>
      </w:r>
      <w:r>
        <w:t xml:space="preserve">nie wywołuje istotnych zmian w </w:t>
      </w:r>
      <w:r w:rsidR="00342649">
        <w:t xml:space="preserve">ich </w:t>
      </w:r>
      <w:r>
        <w:t>zakresie rzeczowym.</w:t>
      </w:r>
    </w:p>
    <w:p w14:paraId="491F1EF1" w14:textId="77777777" w:rsidR="00097430" w:rsidRDefault="00DE4C6F" w:rsidP="00BC7694">
      <w:pPr>
        <w:spacing w:line="276" w:lineRule="auto"/>
        <w:jc w:val="both"/>
      </w:pPr>
      <w:r>
        <w:t xml:space="preserve">Tak precyzyjne założenia pozwalają </w:t>
      </w:r>
      <w:r w:rsidR="00ED11A1">
        <w:t xml:space="preserve">jednostkom odpowiedzialnym za zarządzanie procesem rewitalizacji miasta Łańcuta </w:t>
      </w:r>
      <w:r>
        <w:t xml:space="preserve">na wyciągnięcie jednoznacznych wniosków z przeprowadzanej oceny i podjęcie </w:t>
      </w:r>
      <w:r w:rsidR="00097430">
        <w:t xml:space="preserve">decyzji o aktualizacji programu, bądź o odstąpieniu od niej. </w:t>
      </w:r>
    </w:p>
    <w:p w14:paraId="49F2EFF9" w14:textId="77777777" w:rsidR="00B70AC2" w:rsidRPr="00A43982" w:rsidRDefault="00DA6BC3" w:rsidP="00BC7694">
      <w:pPr>
        <w:spacing w:line="276" w:lineRule="auto"/>
        <w:jc w:val="both"/>
        <w:rPr>
          <w:b/>
          <w:color w:val="000000"/>
        </w:rPr>
      </w:pPr>
      <w:r>
        <w:t xml:space="preserve">LPR Łańcuta jest </w:t>
      </w:r>
      <w:r w:rsidR="00A32075">
        <w:t>również</w:t>
      </w:r>
      <w:r>
        <w:t xml:space="preserve"> dobrym przykładem</w:t>
      </w:r>
      <w:r w:rsidR="00A80C95">
        <w:t xml:space="preserve"> z powodu przeprowadzonych konsultacji społecznych, których celem </w:t>
      </w:r>
      <w:r w:rsidR="00A32075">
        <w:t xml:space="preserve">było uzyskanie uwag interesariuszy </w:t>
      </w:r>
      <w:r w:rsidR="00A80C95" w:rsidRPr="00203622">
        <w:t xml:space="preserve">na temat </w:t>
      </w:r>
      <w:r w:rsidR="00A80C95">
        <w:t xml:space="preserve">projektu aktualizacji </w:t>
      </w:r>
      <w:r w:rsidR="00A32075">
        <w:t>dokumentu</w:t>
      </w:r>
      <w:r w:rsidR="00A80C95" w:rsidRPr="00203622">
        <w:t>.</w:t>
      </w:r>
      <w:r w:rsidR="00B70AC2">
        <w:t xml:space="preserve"> Podstawą do ich przeprowadzenia było obwieszczenie </w:t>
      </w:r>
      <w:r w:rsidR="00ED11A1">
        <w:t>B</w:t>
      </w:r>
      <w:r w:rsidR="00B70AC2">
        <w:t xml:space="preserve">urmistrza </w:t>
      </w:r>
      <w:r w:rsidR="00ED11A1">
        <w:t xml:space="preserve">Miasta Łańcuta </w:t>
      </w:r>
      <w:r w:rsidR="00B70AC2">
        <w:t>(</w:t>
      </w:r>
      <w:hyperlink r:id="rId9" w:history="1">
        <w:r w:rsidR="00B70AC2">
          <w:rPr>
            <w:rStyle w:val="Hipercze"/>
          </w:rPr>
          <w:t>http://www.lancut.pl/asp/pliki/.miniaturki/obwieszczenie_sierpien_2020.pdf</w:t>
        </w:r>
      </w:hyperlink>
      <w:r w:rsidR="00A43982">
        <w:rPr>
          <w:rStyle w:val="Hipercze"/>
        </w:rPr>
        <w:t>)</w:t>
      </w:r>
      <w:r w:rsidR="00A43982">
        <w:rPr>
          <w:rStyle w:val="Hipercze"/>
          <w:color w:val="000000" w:themeColor="text1"/>
          <w:u w:val="none"/>
        </w:rPr>
        <w:t>, do którego w formie załączników dołączono projekt zaktualizowanej wersji programu i formularz uwag. Obwieszczenie było dostępne na</w:t>
      </w:r>
      <w:r w:rsidR="00A43982">
        <w:rPr>
          <w:b/>
          <w:color w:val="000000"/>
        </w:rPr>
        <w:t xml:space="preserve"> </w:t>
      </w:r>
      <w:r w:rsidR="00B70AC2" w:rsidRPr="00203622">
        <w:t>stronie int</w:t>
      </w:r>
      <w:r w:rsidR="00A43982">
        <w:t xml:space="preserve">ernetowej </w:t>
      </w:r>
      <w:r w:rsidR="00A32075">
        <w:t>i</w:t>
      </w:r>
      <w:r w:rsidR="00B70AC2" w:rsidRPr="00203622">
        <w:t xml:space="preserve"> w Biuletynie Informacji Publicznej U</w:t>
      </w:r>
      <w:r w:rsidR="00A43982">
        <w:t>rzędu Miasta oraz</w:t>
      </w:r>
      <w:r w:rsidR="00A43982">
        <w:rPr>
          <w:b/>
          <w:color w:val="000000"/>
        </w:rPr>
        <w:t xml:space="preserve"> </w:t>
      </w:r>
      <w:r w:rsidR="00A32075">
        <w:t xml:space="preserve">w wersji papierowej </w:t>
      </w:r>
      <w:r w:rsidR="00B70AC2" w:rsidRPr="00203622">
        <w:t>w Biurze Obsługi Klienta</w:t>
      </w:r>
      <w:r w:rsidR="00A32075">
        <w:t xml:space="preserve"> UM</w:t>
      </w:r>
      <w:r w:rsidR="00B70AC2">
        <w:t>.</w:t>
      </w:r>
      <w:r w:rsidR="00A43982">
        <w:t xml:space="preserve"> Konsultacje </w:t>
      </w:r>
      <w:r w:rsidR="00A32075">
        <w:t>polegały na zbieraniu</w:t>
      </w:r>
      <w:r w:rsidR="00A43982">
        <w:t xml:space="preserve"> uwag i wniosków w formie papierowej i elektronicznej z wykorzystaniem dołączonego formularza. Można było </w:t>
      </w:r>
      <w:r w:rsidR="00A32075">
        <w:t xml:space="preserve">go </w:t>
      </w:r>
      <w:r w:rsidR="00A43982">
        <w:t>przesłać drogą elektroniczną, korespondencyjną lub dostarczyć osobiście. Przewidziano także możliwość zgłaszania uwag w formie ustnej w Biurze Obsługi Klienta UM.</w:t>
      </w:r>
    </w:p>
    <w:p w14:paraId="28C9C947" w14:textId="77777777" w:rsidR="00D06E22" w:rsidRDefault="00D06E22" w:rsidP="00A70757">
      <w:pPr>
        <w:spacing w:after="0" w:line="240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Autorka: Edyta Tomczyk</w:t>
      </w:r>
    </w:p>
    <w:p w14:paraId="603B60D6" w14:textId="77777777" w:rsidR="00D06E22" w:rsidRDefault="00D06E22" w:rsidP="00A70757">
      <w:pPr>
        <w:spacing w:after="0" w:line="240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Centrum Doradztwa Rewitalizacyjnego </w:t>
      </w:r>
      <w:r>
        <w:rPr>
          <w:rFonts w:cstheme="minorHAnsi"/>
          <w:color w:val="000000" w:themeColor="text1"/>
        </w:rPr>
        <w:br/>
        <w:t>Instytutu Rozwoju Miast i Regionów</w:t>
      </w:r>
    </w:p>
    <w:p w14:paraId="60FEECD9" w14:textId="0CFC6118" w:rsidR="000907C9" w:rsidRDefault="00D06E22" w:rsidP="00A70757">
      <w:pPr>
        <w:spacing w:after="0" w:line="240" w:lineRule="auto"/>
        <w:jc w:val="right"/>
        <w:rPr>
          <w:rFonts w:cstheme="minorHAnsi"/>
          <w:color w:val="000000" w:themeColor="text1"/>
        </w:rPr>
      </w:pPr>
      <w:r w:rsidRPr="00A662D2">
        <w:rPr>
          <w:rFonts w:cstheme="minorHAnsi"/>
          <w:color w:val="000000" w:themeColor="text1"/>
        </w:rPr>
        <w:t xml:space="preserve">ORCID: </w:t>
      </w:r>
      <w:hyperlink r:id="rId10" w:history="1">
        <w:r w:rsidR="00A70757" w:rsidRPr="000F2051">
          <w:rPr>
            <w:rStyle w:val="Hipercze"/>
            <w:rFonts w:cstheme="minorHAnsi"/>
          </w:rPr>
          <w:t>https://orcid.org/0000-0002-3481-856X</w:t>
        </w:r>
      </w:hyperlink>
    </w:p>
    <w:p w14:paraId="49258FDD" w14:textId="410CE953" w:rsidR="00A70757" w:rsidRDefault="00A70757" w:rsidP="00A70757">
      <w:pPr>
        <w:spacing w:after="0" w:line="240" w:lineRule="auto"/>
        <w:jc w:val="right"/>
        <w:rPr>
          <w:rFonts w:cstheme="minorHAnsi"/>
          <w:color w:val="000000" w:themeColor="text1"/>
        </w:rPr>
      </w:pPr>
    </w:p>
    <w:p w14:paraId="275FFF67" w14:textId="28D5DBA0" w:rsidR="00A70757" w:rsidRDefault="00A70757" w:rsidP="00A70757">
      <w:pPr>
        <w:spacing w:after="0" w:line="240" w:lineRule="auto"/>
        <w:jc w:val="right"/>
        <w:rPr>
          <w:rFonts w:cstheme="minorHAnsi"/>
          <w:color w:val="000000" w:themeColor="text1"/>
        </w:rPr>
      </w:pPr>
    </w:p>
    <w:p w14:paraId="2F574E5C" w14:textId="4365F2F8" w:rsidR="00A70757" w:rsidRDefault="00A70757" w:rsidP="00A70757">
      <w:pPr>
        <w:spacing w:after="0" w:line="240" w:lineRule="auto"/>
        <w:jc w:val="right"/>
        <w:rPr>
          <w:rFonts w:cstheme="minorHAnsi"/>
          <w:color w:val="000000" w:themeColor="text1"/>
        </w:rPr>
      </w:pPr>
    </w:p>
    <w:p w14:paraId="3926DBE0" w14:textId="77777777" w:rsidR="00A70757" w:rsidRDefault="00A70757" w:rsidP="00A70757">
      <w:pPr>
        <w:spacing w:after="0" w:line="240" w:lineRule="auto"/>
        <w:jc w:val="right"/>
        <w:rPr>
          <w:rFonts w:cstheme="minorHAnsi"/>
          <w:color w:val="000000" w:themeColor="text1"/>
        </w:rPr>
      </w:pPr>
    </w:p>
    <w:p w14:paraId="23AF0916" w14:textId="50361BEE" w:rsidR="00A70757" w:rsidRDefault="00A70757" w:rsidP="00637176">
      <w:pPr>
        <w:spacing w:line="360" w:lineRule="auto"/>
        <w:jc w:val="center"/>
      </w:pPr>
      <w:r>
        <w:rPr>
          <w:rFonts w:cstheme="minorHAnsi"/>
          <w:i/>
          <w:sz w:val="24"/>
          <w:szCs w:val="24"/>
        </w:rPr>
        <w:t>Artykuł powstał w ramach</w:t>
      </w:r>
      <w:r>
        <w:rPr>
          <w:rFonts w:cstheme="minorHAnsi"/>
          <w:i/>
          <w:iCs/>
          <w:sz w:val="24"/>
          <w:szCs w:val="24"/>
        </w:rPr>
        <w:t xml:space="preserve"> Zadania polegającego na wzmacnianiu zdolności gmin do programowania i wdrażania działań rewitalizacyjnych</w:t>
      </w:r>
      <w:r>
        <w:rPr>
          <w:rFonts w:cstheme="minorHAnsi"/>
          <w:i/>
          <w:sz w:val="24"/>
          <w:szCs w:val="24"/>
        </w:rPr>
        <w:t xml:space="preserve"> realizowanego przez Województwo Podkarpackie w ramach inicjatywy Ministerstwa Funduszy i Polityki Regionalnej pn. </w:t>
      </w:r>
      <w:r>
        <w:rPr>
          <w:rFonts w:cstheme="minorHAnsi"/>
          <w:i/>
          <w:iCs/>
          <w:sz w:val="24"/>
          <w:szCs w:val="24"/>
        </w:rPr>
        <w:t>Regiony Rewitalizacji</w:t>
      </w:r>
      <w:r>
        <w:rPr>
          <w:rFonts w:cstheme="minorHAnsi"/>
          <w:i/>
          <w:sz w:val="24"/>
          <w:szCs w:val="24"/>
        </w:rPr>
        <w:t xml:space="preserve">.  Artykuł sfinansowany </w:t>
      </w:r>
      <w:r>
        <w:rPr>
          <w:rFonts w:cstheme="minorHAnsi"/>
          <w:i/>
          <w:color w:val="000000"/>
          <w:sz w:val="24"/>
          <w:szCs w:val="24"/>
        </w:rPr>
        <w:t>ze środków Funduszu Spójności w ramach Programu Operacyjnego Pomoc Techniczna 2014 – 2020, budżetu państwa i budżetu województwa podkarpackiego</w:t>
      </w:r>
      <w:r>
        <w:rPr>
          <w:rFonts w:cstheme="minorHAnsi"/>
          <w:i/>
          <w:iCs/>
          <w:color w:val="000000"/>
          <w:sz w:val="24"/>
          <w:szCs w:val="24"/>
        </w:rPr>
        <w:t>.</w:t>
      </w:r>
      <w:bookmarkStart w:id="0" w:name="_GoBack"/>
      <w:bookmarkEnd w:id="0"/>
    </w:p>
    <w:p w14:paraId="04F11070" w14:textId="77777777" w:rsidR="00A70757" w:rsidRPr="002048B5" w:rsidRDefault="00A70757" w:rsidP="00A70757">
      <w:pPr>
        <w:spacing w:after="0" w:line="240" w:lineRule="auto"/>
        <w:jc w:val="right"/>
        <w:rPr>
          <w:rFonts w:cstheme="minorHAnsi"/>
          <w:color w:val="000000" w:themeColor="text1"/>
        </w:rPr>
      </w:pPr>
    </w:p>
    <w:sectPr w:rsidR="00A70757" w:rsidRPr="002048B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579AC" w14:textId="77777777" w:rsidR="0047258E" w:rsidRDefault="0047258E" w:rsidP="00230F9E">
      <w:pPr>
        <w:spacing w:after="0" w:line="240" w:lineRule="auto"/>
      </w:pPr>
      <w:r>
        <w:separator/>
      </w:r>
    </w:p>
  </w:endnote>
  <w:endnote w:type="continuationSeparator" w:id="0">
    <w:p w14:paraId="4EA247DE" w14:textId="77777777" w:rsidR="0047258E" w:rsidRDefault="0047258E" w:rsidP="0023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474548"/>
      <w:docPartObj>
        <w:docPartGallery w:val="Page Numbers (Bottom of Page)"/>
        <w:docPartUnique/>
      </w:docPartObj>
    </w:sdtPr>
    <w:sdtEndPr/>
    <w:sdtContent>
      <w:p w14:paraId="68620659" w14:textId="6315AB7C" w:rsidR="00D30AC3" w:rsidRDefault="00D30A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5C4">
          <w:rPr>
            <w:noProof/>
          </w:rPr>
          <w:t>1</w:t>
        </w:r>
        <w:r>
          <w:fldChar w:fldCharType="end"/>
        </w:r>
      </w:p>
    </w:sdtContent>
  </w:sdt>
  <w:p w14:paraId="13405050" w14:textId="77777777" w:rsidR="00D30AC3" w:rsidRDefault="00D30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D03E0" w14:textId="77777777" w:rsidR="0047258E" w:rsidRDefault="0047258E" w:rsidP="00230F9E">
      <w:pPr>
        <w:spacing w:after="0" w:line="240" w:lineRule="auto"/>
      </w:pPr>
      <w:r>
        <w:separator/>
      </w:r>
    </w:p>
  </w:footnote>
  <w:footnote w:type="continuationSeparator" w:id="0">
    <w:p w14:paraId="19D01600" w14:textId="77777777" w:rsidR="0047258E" w:rsidRDefault="0047258E" w:rsidP="00230F9E">
      <w:pPr>
        <w:spacing w:after="0" w:line="240" w:lineRule="auto"/>
      </w:pPr>
      <w:r>
        <w:continuationSeparator/>
      </w:r>
    </w:p>
  </w:footnote>
  <w:footnote w:id="1">
    <w:p w14:paraId="36A0BF2C" w14:textId="3A473012" w:rsidR="00985812" w:rsidRDefault="0098581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z dnia 9 października 20</w:t>
      </w:r>
      <w:r w:rsidR="00CB4961">
        <w:t>15 r. o rewitalizacji (</w:t>
      </w:r>
      <w:proofErr w:type="spellStart"/>
      <w:r w:rsidR="00CB4961">
        <w:t>t.j</w:t>
      </w:r>
      <w:proofErr w:type="spellEnd"/>
      <w:r w:rsidR="00CB4961">
        <w:t>. Dz.</w:t>
      </w:r>
      <w:r>
        <w:t xml:space="preserve">U. z 2020 r. </w:t>
      </w:r>
      <w:r w:rsidR="00AE0AC9">
        <w:t>p</w:t>
      </w:r>
      <w:r w:rsidR="00CB4961">
        <w:t>oz</w:t>
      </w:r>
      <w:r w:rsidR="00AE0AC9">
        <w:t xml:space="preserve">. 802 </w:t>
      </w:r>
      <w:r w:rsidR="00655BF1">
        <w:t xml:space="preserve">z </w:t>
      </w:r>
      <w:proofErr w:type="spellStart"/>
      <w:r w:rsidR="00655BF1">
        <w:t>późn</w:t>
      </w:r>
      <w:proofErr w:type="spellEnd"/>
      <w:r w:rsidR="00655BF1">
        <w:t>. zm.</w:t>
      </w:r>
      <w:r>
        <w:t>).</w:t>
      </w:r>
    </w:p>
  </w:footnote>
  <w:footnote w:id="2">
    <w:p w14:paraId="4FD2C17E" w14:textId="27B363C5" w:rsidR="00985812" w:rsidRDefault="0098581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8 marca 1990 r. o samorządzie gminnym (</w:t>
      </w:r>
      <w:proofErr w:type="spellStart"/>
      <w:r>
        <w:t>t.j</w:t>
      </w:r>
      <w:proofErr w:type="spellEnd"/>
      <w:r>
        <w:t>. Dz. U. z 2020 r. poz. 713</w:t>
      </w:r>
      <w:r w:rsidR="00CB4961" w:rsidRPr="00CB4961">
        <w:t xml:space="preserve"> </w:t>
      </w:r>
      <w:r w:rsidR="00CB4961">
        <w:t xml:space="preserve">z </w:t>
      </w:r>
      <w:proofErr w:type="spellStart"/>
      <w:r w:rsidR="00CB4961">
        <w:t>późn</w:t>
      </w:r>
      <w:proofErr w:type="spellEnd"/>
      <w:r w:rsidR="00CB4961">
        <w:t>. zm.</w:t>
      </w:r>
      <w:r>
        <w:t>).</w:t>
      </w:r>
    </w:p>
  </w:footnote>
  <w:footnote w:id="3">
    <w:p w14:paraId="6EF3B5C0" w14:textId="5561348B" w:rsidR="006D571E" w:rsidRDefault="006D571E" w:rsidP="00AE0A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C0915">
        <w:t>Ustawa z dnia 3 października 2008 r. o udostępnianiu informacji o środowisku i jego ochronie udziale społeczeństwa w ochronie środowiska oraz o ocenach oddziaływania na środowisko (</w:t>
      </w:r>
      <w:proofErr w:type="spellStart"/>
      <w:r w:rsidR="006942FE">
        <w:t>t.j</w:t>
      </w:r>
      <w:proofErr w:type="spellEnd"/>
      <w:r w:rsidR="006942FE">
        <w:t>. Dz.</w:t>
      </w:r>
      <w:r w:rsidR="00D01A06">
        <w:t>U. z 2020 r</w:t>
      </w:r>
      <w:r w:rsidR="007C0915">
        <w:t>.</w:t>
      </w:r>
      <w:r w:rsidR="00AE0AC9">
        <w:t xml:space="preserve"> p</w:t>
      </w:r>
      <w:r w:rsidR="006942FE">
        <w:t>oz</w:t>
      </w:r>
      <w:r w:rsidR="00AE0AC9">
        <w:t>.283</w:t>
      </w:r>
      <w:r w:rsidR="00AE0AC9">
        <w:br/>
      </w:r>
      <w:r w:rsidR="007C0915">
        <w:t xml:space="preserve">z </w:t>
      </w:r>
      <w:proofErr w:type="spellStart"/>
      <w:r w:rsidR="007C0915">
        <w:t>późn</w:t>
      </w:r>
      <w:proofErr w:type="spellEnd"/>
      <w:r w:rsidR="007C0915">
        <w:t>. zm.)</w:t>
      </w:r>
      <w:r w:rsidR="00D01A0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D3F"/>
    <w:multiLevelType w:val="hybridMultilevel"/>
    <w:tmpl w:val="42E2601E"/>
    <w:lvl w:ilvl="0" w:tplc="D34A6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5D16"/>
    <w:multiLevelType w:val="hybridMultilevel"/>
    <w:tmpl w:val="9DD6A42A"/>
    <w:lvl w:ilvl="0" w:tplc="D34A6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F3E89"/>
    <w:multiLevelType w:val="hybridMultilevel"/>
    <w:tmpl w:val="7D88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6D27"/>
    <w:multiLevelType w:val="hybridMultilevel"/>
    <w:tmpl w:val="831AE488"/>
    <w:lvl w:ilvl="0" w:tplc="D34A6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6B12"/>
    <w:multiLevelType w:val="hybridMultilevel"/>
    <w:tmpl w:val="E1984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81454"/>
    <w:multiLevelType w:val="hybridMultilevel"/>
    <w:tmpl w:val="1EAC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0670"/>
    <w:multiLevelType w:val="hybridMultilevel"/>
    <w:tmpl w:val="5080B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97288"/>
    <w:multiLevelType w:val="hybridMultilevel"/>
    <w:tmpl w:val="572A7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4D99"/>
    <w:multiLevelType w:val="hybridMultilevel"/>
    <w:tmpl w:val="4ADA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D51B8"/>
    <w:multiLevelType w:val="hybridMultilevel"/>
    <w:tmpl w:val="79A2AF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172A4"/>
    <w:multiLevelType w:val="hybridMultilevel"/>
    <w:tmpl w:val="7834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79F"/>
    <w:rsid w:val="000245C4"/>
    <w:rsid w:val="00031017"/>
    <w:rsid w:val="00051497"/>
    <w:rsid w:val="00056E76"/>
    <w:rsid w:val="0006439C"/>
    <w:rsid w:val="00075CBB"/>
    <w:rsid w:val="00084697"/>
    <w:rsid w:val="000868E4"/>
    <w:rsid w:val="000907C9"/>
    <w:rsid w:val="00092EE7"/>
    <w:rsid w:val="000930F5"/>
    <w:rsid w:val="00097430"/>
    <w:rsid w:val="000E2B26"/>
    <w:rsid w:val="000F4A07"/>
    <w:rsid w:val="000F5A36"/>
    <w:rsid w:val="001066AF"/>
    <w:rsid w:val="00110F79"/>
    <w:rsid w:val="00114BFB"/>
    <w:rsid w:val="001153DF"/>
    <w:rsid w:val="00135FF1"/>
    <w:rsid w:val="001549E6"/>
    <w:rsid w:val="00161953"/>
    <w:rsid w:val="0016508C"/>
    <w:rsid w:val="001A09E6"/>
    <w:rsid w:val="001B6A3C"/>
    <w:rsid w:val="001B774B"/>
    <w:rsid w:val="002048B5"/>
    <w:rsid w:val="002301C4"/>
    <w:rsid w:val="00230F9E"/>
    <w:rsid w:val="0024679F"/>
    <w:rsid w:val="00246B36"/>
    <w:rsid w:val="002737A2"/>
    <w:rsid w:val="002E0AEA"/>
    <w:rsid w:val="0033217D"/>
    <w:rsid w:val="00342649"/>
    <w:rsid w:val="00353413"/>
    <w:rsid w:val="0036767E"/>
    <w:rsid w:val="003764EF"/>
    <w:rsid w:val="00382840"/>
    <w:rsid w:val="003903E5"/>
    <w:rsid w:val="00396CDD"/>
    <w:rsid w:val="003B7A4C"/>
    <w:rsid w:val="003D0871"/>
    <w:rsid w:val="003E10C5"/>
    <w:rsid w:val="003F6645"/>
    <w:rsid w:val="00422C6A"/>
    <w:rsid w:val="00422CD3"/>
    <w:rsid w:val="00432F67"/>
    <w:rsid w:val="00462F79"/>
    <w:rsid w:val="0047258E"/>
    <w:rsid w:val="00483243"/>
    <w:rsid w:val="004A07AC"/>
    <w:rsid w:val="004B0DFB"/>
    <w:rsid w:val="004B3C58"/>
    <w:rsid w:val="004B63DE"/>
    <w:rsid w:val="004F5577"/>
    <w:rsid w:val="004F5DD7"/>
    <w:rsid w:val="00530B15"/>
    <w:rsid w:val="0055795D"/>
    <w:rsid w:val="00564710"/>
    <w:rsid w:val="00574D74"/>
    <w:rsid w:val="005814FD"/>
    <w:rsid w:val="00585188"/>
    <w:rsid w:val="00593450"/>
    <w:rsid w:val="00593832"/>
    <w:rsid w:val="005D0E00"/>
    <w:rsid w:val="005D53CE"/>
    <w:rsid w:val="005E2449"/>
    <w:rsid w:val="00612F0A"/>
    <w:rsid w:val="00637176"/>
    <w:rsid w:val="00644FD4"/>
    <w:rsid w:val="00655BF1"/>
    <w:rsid w:val="00655D21"/>
    <w:rsid w:val="00656D28"/>
    <w:rsid w:val="00662693"/>
    <w:rsid w:val="00681AB5"/>
    <w:rsid w:val="00687AB8"/>
    <w:rsid w:val="00690CB6"/>
    <w:rsid w:val="006942FE"/>
    <w:rsid w:val="006D571E"/>
    <w:rsid w:val="006F3C75"/>
    <w:rsid w:val="0070538B"/>
    <w:rsid w:val="007074BD"/>
    <w:rsid w:val="007310BD"/>
    <w:rsid w:val="0073353A"/>
    <w:rsid w:val="007658DE"/>
    <w:rsid w:val="007846C6"/>
    <w:rsid w:val="007851E7"/>
    <w:rsid w:val="00791DED"/>
    <w:rsid w:val="00791E7B"/>
    <w:rsid w:val="007C0915"/>
    <w:rsid w:val="007D541B"/>
    <w:rsid w:val="007F0F57"/>
    <w:rsid w:val="008070DC"/>
    <w:rsid w:val="00810F6B"/>
    <w:rsid w:val="008273FC"/>
    <w:rsid w:val="00841A8E"/>
    <w:rsid w:val="00850914"/>
    <w:rsid w:val="00851B19"/>
    <w:rsid w:val="00863837"/>
    <w:rsid w:val="00874A18"/>
    <w:rsid w:val="008B0004"/>
    <w:rsid w:val="008D46D4"/>
    <w:rsid w:val="008E05D2"/>
    <w:rsid w:val="009057FE"/>
    <w:rsid w:val="009108AD"/>
    <w:rsid w:val="009111BF"/>
    <w:rsid w:val="0093426C"/>
    <w:rsid w:val="0093668A"/>
    <w:rsid w:val="00961BAD"/>
    <w:rsid w:val="00963268"/>
    <w:rsid w:val="00983467"/>
    <w:rsid w:val="009845CB"/>
    <w:rsid w:val="009849AE"/>
    <w:rsid w:val="00985812"/>
    <w:rsid w:val="009A437E"/>
    <w:rsid w:val="009A7188"/>
    <w:rsid w:val="009B0F35"/>
    <w:rsid w:val="009D1FAA"/>
    <w:rsid w:val="009D6D62"/>
    <w:rsid w:val="009E5875"/>
    <w:rsid w:val="009F4F18"/>
    <w:rsid w:val="00A00798"/>
    <w:rsid w:val="00A16E43"/>
    <w:rsid w:val="00A32075"/>
    <w:rsid w:val="00A356C2"/>
    <w:rsid w:val="00A43982"/>
    <w:rsid w:val="00A53CB0"/>
    <w:rsid w:val="00A54B23"/>
    <w:rsid w:val="00A57621"/>
    <w:rsid w:val="00A70757"/>
    <w:rsid w:val="00A74B8F"/>
    <w:rsid w:val="00A80C95"/>
    <w:rsid w:val="00A82E5F"/>
    <w:rsid w:val="00A90B76"/>
    <w:rsid w:val="00A95EB0"/>
    <w:rsid w:val="00AA1C4A"/>
    <w:rsid w:val="00AB11F5"/>
    <w:rsid w:val="00AB39A6"/>
    <w:rsid w:val="00AE0AC9"/>
    <w:rsid w:val="00B30E2C"/>
    <w:rsid w:val="00B42542"/>
    <w:rsid w:val="00B52502"/>
    <w:rsid w:val="00B557F3"/>
    <w:rsid w:val="00B70AC2"/>
    <w:rsid w:val="00B74D04"/>
    <w:rsid w:val="00BA7C8A"/>
    <w:rsid w:val="00BB4749"/>
    <w:rsid w:val="00BC3C37"/>
    <w:rsid w:val="00BC7694"/>
    <w:rsid w:val="00BF11A9"/>
    <w:rsid w:val="00BF4B85"/>
    <w:rsid w:val="00C21570"/>
    <w:rsid w:val="00C22B1A"/>
    <w:rsid w:val="00C22E03"/>
    <w:rsid w:val="00C26564"/>
    <w:rsid w:val="00C32789"/>
    <w:rsid w:val="00C41667"/>
    <w:rsid w:val="00C44FA1"/>
    <w:rsid w:val="00C531C7"/>
    <w:rsid w:val="00C60B4A"/>
    <w:rsid w:val="00C70400"/>
    <w:rsid w:val="00C822A2"/>
    <w:rsid w:val="00C86B39"/>
    <w:rsid w:val="00CB4961"/>
    <w:rsid w:val="00CE0677"/>
    <w:rsid w:val="00CE1BA1"/>
    <w:rsid w:val="00D01A06"/>
    <w:rsid w:val="00D06E22"/>
    <w:rsid w:val="00D143AF"/>
    <w:rsid w:val="00D30AC3"/>
    <w:rsid w:val="00D330EF"/>
    <w:rsid w:val="00D56B5B"/>
    <w:rsid w:val="00D63BD9"/>
    <w:rsid w:val="00D86A22"/>
    <w:rsid w:val="00D945AE"/>
    <w:rsid w:val="00D957E7"/>
    <w:rsid w:val="00D96607"/>
    <w:rsid w:val="00DA2DAA"/>
    <w:rsid w:val="00DA6BC3"/>
    <w:rsid w:val="00DA6D09"/>
    <w:rsid w:val="00DE0419"/>
    <w:rsid w:val="00DE4C6F"/>
    <w:rsid w:val="00DF1C15"/>
    <w:rsid w:val="00DF33AE"/>
    <w:rsid w:val="00E04044"/>
    <w:rsid w:val="00E34264"/>
    <w:rsid w:val="00E42A0A"/>
    <w:rsid w:val="00E50A5C"/>
    <w:rsid w:val="00E7445D"/>
    <w:rsid w:val="00E77BF2"/>
    <w:rsid w:val="00EB5419"/>
    <w:rsid w:val="00EC2BCD"/>
    <w:rsid w:val="00ED11A1"/>
    <w:rsid w:val="00F222EF"/>
    <w:rsid w:val="00F24EB3"/>
    <w:rsid w:val="00F24FA9"/>
    <w:rsid w:val="00F3403E"/>
    <w:rsid w:val="00F45A95"/>
    <w:rsid w:val="00F45E4B"/>
    <w:rsid w:val="00F613BD"/>
    <w:rsid w:val="00F6767D"/>
    <w:rsid w:val="00F71020"/>
    <w:rsid w:val="00F77C72"/>
    <w:rsid w:val="00F828A7"/>
    <w:rsid w:val="00FC4508"/>
    <w:rsid w:val="00FC5A83"/>
    <w:rsid w:val="00FD41E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AC57"/>
  <w15:chartTrackingRefBased/>
  <w15:docId w15:val="{E6F835EE-962B-4AB7-B298-D2D2FEFB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6D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0AC2"/>
    <w:rPr>
      <w:color w:val="0000FF"/>
      <w:u w:val="single"/>
    </w:rPr>
  </w:style>
  <w:style w:type="paragraph" w:customStyle="1" w:styleId="Default">
    <w:name w:val="Default"/>
    <w:rsid w:val="00B70A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F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F9E"/>
    <w:rPr>
      <w:vertAlign w:val="superscript"/>
    </w:rPr>
  </w:style>
  <w:style w:type="table" w:styleId="Siatkatabelijasna">
    <w:name w:val="Grid Table Light"/>
    <w:basedOn w:val="Standardowy"/>
    <w:uiPriority w:val="40"/>
    <w:rsid w:val="00AA1C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0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AC3"/>
  </w:style>
  <w:style w:type="paragraph" w:styleId="Stopka">
    <w:name w:val="footer"/>
    <w:basedOn w:val="Normalny"/>
    <w:link w:val="StopkaZnak"/>
    <w:uiPriority w:val="99"/>
    <w:unhideWhenUsed/>
    <w:rsid w:val="00D3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AC3"/>
  </w:style>
  <w:style w:type="character" w:styleId="Nierozpoznanawzmianka">
    <w:name w:val="Unresolved Mention"/>
    <w:basedOn w:val="Domylnaczcionkaakapitu"/>
    <w:uiPriority w:val="99"/>
    <w:semiHidden/>
    <w:unhideWhenUsed/>
    <w:rsid w:val="00A70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3481-856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ncut.pl/asp/pliki/.miniaturki/obwieszczenie_sierpien_20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928E-D774-4527-9FAA-0DA4F506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Aktualizacja programu rewitalizacji</vt:lpstr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Aktualizacja programu rewitalizacji</dc:title>
  <dc:subject/>
  <dc:creator>Instytut Rozwoju Miast i Regionów</dc:creator>
  <cp:keywords/>
  <dc:description/>
  <cp:lastModifiedBy>Katarzyna Stecuła</cp:lastModifiedBy>
  <cp:revision>10</cp:revision>
  <cp:lastPrinted>2020-10-05T11:03:00Z</cp:lastPrinted>
  <dcterms:created xsi:type="dcterms:W3CDTF">2020-09-23T10:20:00Z</dcterms:created>
  <dcterms:modified xsi:type="dcterms:W3CDTF">2021-12-01T08:51:00Z</dcterms:modified>
</cp:coreProperties>
</file>